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1B365D"/>
          <w:sz w:val="44"/>
          <w:szCs w:val="44"/>
        </w:rPr>
        <w:t xml:space="preserve">PRINTING RIGHT ATTRIBUTION (PRA)</w:t>
      </w:r>
    </w:p>
    <w:p>
      <w:pPr>
        <w:spacing w:after="60"/>
      </w:pPr>
      <w:r>
        <w:rPr>
          <w:i/>
          <w:iCs/>
          <w:color w:val="555555"/>
          <w:sz w:val="24"/>
          <w:szCs w:val="24"/>
        </w:rPr>
        <w:t xml:space="preserve">A print-facing protocol for documenting the rights basis of reprints</w:t>
      </w:r>
    </w:p>
    <w:p>
      <w:pPr>
        <w:spacing w:after="300"/>
      </w:pPr>
      <w:r>
        <w:rPr>
          <w:color w:val="555555"/>
          <w:sz w:val="20"/>
          <w:szCs w:val="20"/>
        </w:rPr>
        <w:t xml:space="preserve">Version 1 · Draft for legal, policy and technical review · Colombo, 23 September 2026</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9020"/>
      </w:tblGrid>
      <w:tr>
        <w:tc>
          <w:tcPr>
            <w:tcW w:type="dxa" w:w="9020"/>
            <w:tcBorders>
              <w:top w:val="single" w:color="8A6D3B" w:sz="10"/>
              <w:left w:val="single" w:color="8A6D3B" w:sz="10"/>
              <w:bottom w:val="single" w:color="8A6D3B" w:sz="10"/>
              <w:right w:val="single" w:color="8A6D3B" w:sz="10"/>
            </w:tcBorders>
            <w:shd w:fill="F3EFE3" w:val="clear"/>
            <w:tcMar>
              <w:top w:type="dxa" w:w="160"/>
              <w:left w:type="dxa" w:w="200"/>
              <w:bottom w:type="dxa" w:w="160"/>
              <w:right w:type="dxa" w:w="200"/>
            </w:tcMar>
          </w:tcPr>
          <w:p>
            <w:pPr>
              <w:spacing w:after="100"/>
            </w:pPr>
            <w:r>
              <w:rPr>
                <w:b/>
                <w:bCs/>
                <w:color w:val="1B365D"/>
              </w:rPr>
              <w:t xml:space="preserve">Bright-line rule</w:t>
            </w:r>
          </w:p>
          <w:p>
            <w:pPr>
              <w:spacing w:after="0"/>
            </w:pPr>
            <w:r>
              <w:rPr>
                <w:b w:val="false"/>
                <w:bCs w:val="false"/>
                <w:color w:val="1B365D"/>
              </w:rPr>
              <w:t xml:space="preserve">A PRA mark never creates permission by itself. Permission exists only where applicable national law, a licence, a deed, or another identified legal instrument independently supplies it. A PRA mark communicates the scope and basis of a recorded claim; it is not a government certification, court determination, warranty of non-infringement, or substitute for legal advice. A PRA-ID identifies a record; it does not create a right.</w:t>
            </w:r>
          </w:p>
        </w:tc>
      </w:tr>
    </w:tbl>
    <w:p>
      <w:pPr>
        <w:pStyle w:val="Heading1"/>
        <w:spacing w:after="200" w:before="400"/>
      </w:pPr>
      <w:r>
        <w:t xml:space="preserve">Executive proposition</w:t>
      </w:r>
    </w:p>
    <w:p>
      <w:pPr>
        <w:spacing w:after="160"/>
      </w:pPr>
      <w:r>
        <w:t xml:space="preserve">Reprints often carry too little information about what was reproduced, under what authority, in which territories, and with what limitations. Printing Right Attribution (PRA) is a proposed physical-copy protocol that places concise, component-level rights information on the verso of a reprint and links it to a public, challengeable record.</w:t>
      </w:r>
    </w:p>
    <w:p>
      <w:pPr>
        <w:spacing w:after="160"/>
      </w:pPr>
      <w:r>
        <w:t xml:space="preserve">PRA is designed to complement, not replace, national law, RightsStatements.org, HathiTrust rights metadata, Creative Commons public-domain tools, and the EUIPO out-of-commerce works system. Its proposed contribution is the combination and point of use: a physical, print-legible, component-aware, territory-conscious notice linked to a public, challengeable, historical record. It is not a new copyright right, universal licence, orphan-works regime, or replacement registry.</w:t>
      </w:r>
    </w:p>
    <w:p>
      <w:pPr>
        <w:spacing w:after="160"/>
      </w:pPr>
      <w:r>
        <w:t xml:space="preserve">PRA has three distinct instruments: (1) a voluntary Source A deed; (2) a nationally authorised Source B licence; and (3) an interoperable protocol for identifiers, metadata, search evidence, status, revocation, evidence disclosure, and optional payment routing. PRA does not itself grant permission or determine copyright status; it records and displays the stated legal basis, territorial scope, component coverage, and evidence associated with a reprint.</w:t>
      </w:r>
    </w:p>
    <w:p>
      <w:pPr>
        <w:pStyle w:val="Heading2"/>
        <w:spacing w:after="150" w:before="300"/>
      </w:pPr>
      <w:r>
        <w:t xml:space="preserve">What this paper does not claim</w:t>
      </w:r>
    </w:p>
    <w:p>
      <w:pPr>
        <w:pStyle w:val="ListParagraph"/>
        <w:numPr>
          <w:ilvl w:val="0"/>
          <w:numId w:val="1"/>
        </w:numPr>
        <w:spacing w:after="80"/>
      </w:pPr>
      <w:r>
        <w:t xml:space="preserve">A new global copyright system or international licence.</w:t>
      </w:r>
    </w:p>
    <w:p>
      <w:pPr>
        <w:pStyle w:val="ListParagraph"/>
        <w:numPr>
          <w:ilvl w:val="0"/>
          <w:numId w:val="1"/>
        </w:numPr>
        <w:spacing w:after="80"/>
      </w:pPr>
      <w:r>
        <w:t xml:space="preserve">A universal orphan-works solution.</w:t>
      </w:r>
    </w:p>
    <w:p>
      <w:pPr>
        <w:pStyle w:val="ListParagraph"/>
        <w:numPr>
          <w:ilvl w:val="0"/>
          <w:numId w:val="1"/>
        </w:numPr>
        <w:spacing w:after="80"/>
      </w:pPr>
      <w:r>
        <w:t xml:space="preserve">A new rights vocabulary built from nothing.</w:t>
      </w:r>
    </w:p>
    <w:p>
      <w:pPr>
        <w:pStyle w:val="ListParagraph"/>
        <w:numPr>
          <w:ilvl w:val="0"/>
          <w:numId w:val="1"/>
        </w:numPr>
        <w:spacing w:after="80"/>
      </w:pPr>
      <w:r>
        <w:t xml:space="preserve">A registry that establishes lawful reproduction by itself.</w:t>
      </w:r>
    </w:p>
    <w:p>
      <w:pPr>
        <w:pStyle w:val="ListParagraph"/>
        <w:numPr>
          <w:ilvl w:val="0"/>
          <w:numId w:val="1"/>
        </w:numPr>
        <w:spacing w:after="80"/>
      </w:pPr>
      <w:r>
        <w:t xml:space="preserve">A replacement for RightsStatements.org, HathiTrust, Creative Commons, or national systems.</w:t>
      </w:r>
    </w:p>
    <w:p>
      <w:pPr>
        <w:pStyle w:val="ListParagraph"/>
        <w:numPr>
          <w:ilvl w:val="0"/>
          <w:numId w:val="1"/>
        </w:numPr>
        <w:spacing w:after="80"/>
      </w:pPr>
      <w:r>
        <w:t xml:space="preserve">A neutral authority for reprinting.</w:t>
      </w:r>
    </w:p>
    <w:p>
      <w:pPr>
        <w:pStyle w:val="ListParagraph"/>
        <w:numPr>
          <w:ilvl w:val="0"/>
          <w:numId w:val="1"/>
        </w:numPr>
        <w:spacing w:after="80"/>
      </w:pPr>
      <w:r>
        <w:t xml:space="preserve">A blockchain rights registry, cryptocurrency, or tradeable token.</w:t>
      </w:r>
    </w:p>
    <w:p>
      <w:pPr>
        <w:pStyle w:val="ListParagraph"/>
        <w:numPr>
          <w:ilvl w:val="0"/>
          <w:numId w:val="1"/>
        </w:numPr>
        <w:spacing w:after="80"/>
      </w:pPr>
      <w:r>
        <w:t xml:space="preserve">Essential infrastructure that the industry must adopt.</w:t>
      </w:r>
    </w:p>
    <w:p>
      <w:pPr>
        <w:pStyle w:val="Heading2"/>
        <w:spacing w:after="150" w:before="300"/>
      </w:pPr>
      <w:r>
        <w:t xml:space="preserve">What this paper proposes instead</w:t>
      </w:r>
    </w:p>
    <w:p>
      <w:pPr>
        <w:pStyle w:val="ListParagraph"/>
        <w:numPr>
          <w:ilvl w:val="0"/>
          <w:numId w:val="1"/>
        </w:numPr>
        <w:spacing w:after="80"/>
      </w:pPr>
      <w:r>
        <w:t xml:space="preserve">A proposed physical-copy attribution protocol.</w:t>
      </w:r>
    </w:p>
    <w:p>
      <w:pPr>
        <w:pStyle w:val="ListParagraph"/>
        <w:numPr>
          <w:ilvl w:val="0"/>
          <w:numId w:val="1"/>
        </w:numPr>
        <w:spacing w:after="80"/>
      </w:pPr>
      <w:r>
        <w:t xml:space="preserve">A print-facing extension layer over existing rights-information systems.</w:t>
      </w:r>
    </w:p>
    <w:p>
      <w:pPr>
        <w:pStyle w:val="ListParagraph"/>
        <w:numPr>
          <w:ilvl w:val="0"/>
          <w:numId w:val="1"/>
        </w:numPr>
        <w:spacing w:after="80"/>
      </w:pPr>
      <w:r>
        <w:t xml:space="preserve">A component-level rights-information convention for mixed-rights books.</w:t>
      </w:r>
    </w:p>
    <w:p>
      <w:pPr>
        <w:pStyle w:val="ListParagraph"/>
        <w:numPr>
          <w:ilvl w:val="0"/>
          <w:numId w:val="1"/>
        </w:numPr>
        <w:spacing w:after="80"/>
      </w:pPr>
      <w:r>
        <w:t xml:space="preserve">A crosswalk between printed attribution and established rights vocabularies.</w:t>
      </w:r>
    </w:p>
    <w:p>
      <w:pPr>
        <w:pStyle w:val="ListParagraph"/>
        <w:numPr>
          <w:ilvl w:val="0"/>
          <w:numId w:val="1"/>
        </w:numPr>
        <w:spacing w:after="80"/>
      </w:pPr>
      <w:r>
        <w:t xml:space="preserve">A resolver architecture for reprint provenance.</w:t>
      </w:r>
    </w:p>
    <w:p>
      <w:pPr>
        <w:pStyle w:val="ListParagraph"/>
        <w:numPr>
          <w:ilvl w:val="0"/>
          <w:numId w:val="1"/>
        </w:numPr>
        <w:spacing w:after="80"/>
      </w:pPr>
      <w:r>
        <w:t xml:space="preserve">A non-authorising record format that makes legal basis and uncertainty visible.</w:t>
      </w:r>
    </w:p>
    <w:p>
      <w:pPr>
        <w:pStyle w:val="ListParagraph"/>
        <w:numPr>
          <w:ilvl w:val="0"/>
          <w:numId w:val="1"/>
        </w:numPr>
        <w:spacing w:after="80"/>
      </w:pPr>
      <w:r>
        <w:t xml:space="preserve">A complement to national orphan-work, out-of-commerce, and licensing systems.</w:t>
      </w:r>
    </w:p>
    <w:p>
      <w:pPr>
        <w:pStyle w:val="ListParagraph"/>
        <w:numPr>
          <w:ilvl w:val="0"/>
          <w:numId w:val="1"/>
        </w:numPr>
        <w:spacing w:after="80"/>
      </w:pPr>
      <w:r>
        <w:t xml:space="preserve">A data and event model designed for interoperability and optional future machine-verifiable implementation.</w:t>
      </w:r>
    </w:p>
    <w:p>
      <w:pPr>
        <w:pStyle w:val="Heading2"/>
        <w:spacing w:after="150" w:before="300"/>
      </w:pPr>
      <w:r>
        <w:t xml:space="preserve">Prior art, related practice, and claimed contribution</w:t>
      </w:r>
    </w:p>
    <w:p>
      <w:pPr>
        <w:spacing w:after="160"/>
      </w:pPr>
      <w:r>
        <w:t xml:space="preserve">This proposal does not claim novelty in public-domain marking, rights-status statements, diligent-search records, orphan-work licensing, component analysis, persistent identifiers, event histories, or printed copyright-page information considered separately. Existing systems and literature address each of these elements, in different contexts:</w:t>
      </w:r>
    </w:p>
    <w:p>
      <w:pPr>
        <w:pStyle w:val="ListParagraph"/>
        <w:numPr>
          <w:ilvl w:val="0"/>
          <w:numId w:val="1"/>
        </w:numPr>
        <w:spacing w:after="80"/>
      </w:pPr>
      <w:r>
        <w:t xml:space="preserve">Orphan-work licensing after a diligent search is established practice in Canada (Copyright Act, s.77), the United Kingdom (Orphan Works Licensing Scheme, in force since 2014), and Japan (Copyright Act, Art. 67, most recently reformed in 2023); India's Copyright Act, 1957 addresses works whose author is dead, unknown, or untraceable under s.31A.</w:t>
      </w:r>
    </w:p>
    <w:p>
      <w:pPr>
        <w:pStyle w:val="ListParagraph"/>
        <w:numPr>
          <w:ilvl w:val="0"/>
          <w:numId w:val="1"/>
        </w:numPr>
        <w:spacing w:after="80"/>
      </w:pPr>
      <w:r>
        <w:t xml:space="preserve">Qualified, informational rights-status statements distinct from licences are established practice at RightsStatements.org, whose “No Known Copyright” and related statements express qualified belief rather than a conclusive legal determination.</w:t>
      </w:r>
    </w:p>
    <w:p>
      <w:pPr>
        <w:pStyle w:val="ListParagraph"/>
        <w:numPr>
          <w:ilvl w:val="0"/>
          <w:numId w:val="1"/>
        </w:numPr>
        <w:spacing w:after="80"/>
      </w:pPr>
      <w:r>
        <w:t xml:space="preserve">Institutional rights metadata and status-and-reason-code registers operating at scale are established practice at HathiTrust.</w:t>
      </w:r>
    </w:p>
    <w:p>
      <w:pPr>
        <w:pStyle w:val="ListParagraph"/>
        <w:numPr>
          <w:ilvl w:val="0"/>
          <w:numId w:val="1"/>
        </w:numPr>
        <w:spacing w:after="80"/>
      </w:pPr>
      <w:r>
        <w:t xml:space="preserve">A global, territory-blind public-domain assertion is established practice through the Creative Commons Public Domain Mark.</w:t>
      </w:r>
    </w:p>
    <w:p>
      <w:pPr>
        <w:pStyle w:val="ListParagraph"/>
        <w:numPr>
          <w:ilvl w:val="0"/>
          <w:numId w:val="1"/>
        </w:numPr>
        <w:spacing w:after="80"/>
      </w:pPr>
      <w:r>
        <w:t xml:space="preserve">Public transparency and rights-holder opt-out for works still in copyright but out of commerce is established practice through the EUIPO out-of-commerce works portal, implementing EU Directive (EU) 2019/790, Arts 8-11.</w:t>
      </w:r>
    </w:p>
    <w:p>
      <w:pPr>
        <w:pStyle w:val="ListParagraph"/>
        <w:numPr>
          <w:ilvl w:val="0"/>
          <w:numId w:val="1"/>
        </w:numPr>
        <w:spacing w:after="80"/>
      </w:pPr>
      <w:r>
        <w:t xml:space="preserve">The limits of tacit or presumed consent as a substitute for an author's own permission were addressed by the Court of Justice of the European Union in Soulier and Doke v Premier ministre (Case C-301/15, 2016).</w:t>
      </w:r>
    </w:p>
    <w:p>
      <w:pPr>
        <w:pStyle w:val="ListParagraph"/>
        <w:numPr>
          <w:ilvl w:val="0"/>
          <w:numId w:val="1"/>
        </w:numPr>
        <w:spacing w:after="80"/>
      </w:pPr>
      <w:r>
        <w:t xml:space="preserve">The risks of a single private registry acquiring de facto control over orphan-work exploitation were addressed by the U.S. District Court in rejecting the proposed Google Books settlement (Authors Guild v. Google, 770 F. Supp. 2d 666 (S.D.N.Y. 2011)).</w:t>
      </w:r>
    </w:p>
    <w:p>
      <w:pPr>
        <w:pStyle w:val="ListParagraph"/>
        <w:numPr>
          <w:ilvl w:val="0"/>
          <w:numId w:val="1"/>
        </w:numPr>
        <w:spacing w:after="80"/>
      </w:pPr>
      <w:r>
        <w:t xml:space="preserve">A prior attempt at an industry-wide, machine-readable rights-permissions protocol, the Automated Content Access Protocol (ACAP, 2006-2012), did not achieve adoption by the platforms it needed to reach; its outcome is a relevant caution for this proposal's own adoption strategy, addressed in Part IV.</w:t>
      </w:r>
    </w:p>
    <w:p>
      <w:pPr>
        <w:pStyle w:val="ListParagraph"/>
        <w:numPr>
          <w:ilvl w:val="0"/>
          <w:numId w:val="1"/>
        </w:numPr>
        <w:spacing w:after="80"/>
      </w:pPr>
      <w:r>
        <w:t xml:space="preserve">Existing books already use the copyright page (the verso of the title page) for a notice, edition and ISBN information, permissions, and credits; that surface and function are not new.</w:t>
      </w:r>
    </w:p>
    <w:p>
      <w:pPr>
        <w:spacing w:after="160"/>
      </w:pPr>
      <w:r>
        <w:t xml:space="preserve">The author has not identified, in the sources and systems reviewed as of the date of this paper, a widely adopted protocol that combines a print-facing, component-level, territory-specific, resolver-linked rights record for physical trade and community reprints. This claim is provisional and remains open to correction through further literature and standards review. The proposed contribution, if it holds, is that combination: applied at the point where a book leaves a library, platform, or archive and enters ordinary commerce, rather than to a digital object inside an institutional system.</w:t>
      </w:r>
    </w:p>
    <w:p>
      <w:pPr>
        <w:pStyle w:val="Heading1"/>
        <w:spacing w:after="200" w:before="400"/>
      </w:pPr>
      <w:r>
        <w:t xml:space="preserve">Part I: Instruments and eligibility</w:t>
      </w:r>
    </w:p>
    <w:p>
      <w:pPr>
        <w:pStyle w:val="Heading2"/>
        <w:spacing w:after="150" w:before="300"/>
      </w:pPr>
      <w:r>
        <w:t xml:space="preserve">1. Purpose and scope</w:t>
      </w:r>
    </w:p>
    <w:p>
      <w:pPr>
        <w:spacing w:after="160"/>
      </w:pPr>
      <w:r>
        <w:t xml:space="preserve">PRA does not convert an out-of-print book into public-domain material, allow a platform to license another person's copyright, or create a universal international right to reprint.</w:t>
      </w:r>
    </w:p>
    <w:p>
      <w:pPr>
        <w:spacing w:after="160"/>
      </w:pPr>
      <w:r>
        <w:t xml:space="preserve">PRA begins with published literary works. The initial protocol does not presume coverage of embedded material. Photographs, maps, illustrations, translations, cover art, adaptations, Indigenous or traditional cultural expressions, AI-training uses, and other embedded works must be separately assessed, excluded, replaced, or licensed before they can be included in a claimed scope.</w:t>
      </w:r>
    </w:p>
    <w:p>
      <w:pPr>
        <w:pStyle w:val="Heading2"/>
        <w:spacing w:after="150" w:before="300"/>
      </w:pPr>
      <w:r>
        <w:t xml:space="preserve">2. Three instruments</w:t>
      </w:r>
    </w:p>
    <w:p>
      <w:pPr>
        <w:spacing w:after="160"/>
      </w:pPr>
      <w:r>
        <w:t xml:space="preserve">PRA-A records a documented permission instrument from an identified rights holder or authorised representative. PRA-B records a documented national or statutory authority. These are two proposed PRA permission-basis types, not an exhaustive statement of lawful reproduction; other lawful bases may exist outside this classification.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3790"/>
        <w:gridCol w:w="3790"/>
      </w:tblGrid>
      <w:tr>
        <w:trPr>
          <w:tblHeader/>
        </w:trPr>
        <w:tc>
          <w:tcPr>
            <w:tcW w:type="dxa" w:w="2500"/>
            <w:shd w:fill="1B365D" w:val="clear"/>
            <w:tcMar>
              <w:top w:type="dxa" w:w="100"/>
              <w:left w:type="dxa" w:w="120"/>
              <w:bottom w:type="dxa" w:w="100"/>
              <w:right w:type="dxa" w:w="120"/>
            </w:tcMar>
          </w:tcPr>
          <w:p>
            <w:r>
              <w:rPr>
                <w:b/>
                <w:bCs/>
                <w:color w:val="FFFFFF"/>
                <w:sz w:val="20"/>
                <w:szCs w:val="20"/>
              </w:rPr>
              <w:t xml:space="preserve">Instrument</w:t>
            </w:r>
          </w:p>
        </w:tc>
        <w:tc>
          <w:tcPr>
            <w:tcW w:type="dxa" w:w="3790"/>
            <w:shd w:fill="1B365D" w:val="clear"/>
            <w:tcMar>
              <w:top w:type="dxa" w:w="100"/>
              <w:left w:type="dxa" w:w="120"/>
              <w:bottom w:type="dxa" w:w="100"/>
              <w:right w:type="dxa" w:w="120"/>
            </w:tcMar>
          </w:tcPr>
          <w:p>
            <w:r>
              <w:rPr>
                <w:b/>
                <w:bCs/>
                <w:color w:val="FFFFFF"/>
                <w:sz w:val="20"/>
                <w:szCs w:val="20"/>
              </w:rPr>
              <w:t xml:space="preserve">Function</w:t>
            </w:r>
          </w:p>
        </w:tc>
        <w:tc>
          <w:tcPr>
            <w:tcW w:type="dxa" w:w="3790"/>
            <w:shd w:fill="1B365D" w:val="clear"/>
            <w:tcMar>
              <w:top w:type="dxa" w:w="100"/>
              <w:left w:type="dxa" w:w="120"/>
              <w:bottom w:type="dxa" w:w="100"/>
              <w:right w:type="dxa" w:w="120"/>
            </w:tcMar>
          </w:tcPr>
          <w:p>
            <w:r>
              <w:rPr>
                <w:b/>
                <w:bCs/>
                <w:color w:val="FFFFFF"/>
                <w:sz w:val="20"/>
                <w:szCs w:val="20"/>
              </w:rPr>
              <w:t xml:space="preserve">Legal effect</w:t>
            </w:r>
          </w:p>
        </w:tc>
      </w:tr>
      <w:tr>
        <w:tc>
          <w:tcPr>
            <w:tcW w:type="dxa" w:w="2500"/>
            <w:shd w:fill="FFFCF7" w:val="clear"/>
            <w:tcMar>
              <w:top w:type="dxa" w:w="100"/>
              <w:left w:type="dxa" w:w="120"/>
              <w:bottom w:type="dxa" w:w="100"/>
              <w:right w:type="dxa" w:w="120"/>
            </w:tcMar>
          </w:tcPr>
          <w:p>
            <w:pPr>
              <w:spacing w:after="60"/>
            </w:pPr>
            <w:r>
              <w:rPr>
                <w:sz w:val="20"/>
                <w:szCs w:val="20"/>
              </w:rPr>
              <w:t xml:space="preserve">Source A deed</w:t>
            </w:r>
          </w:p>
        </w:tc>
        <w:tc>
          <w:tcPr>
            <w:tcW w:type="dxa" w:w="3790"/>
            <w:shd w:fill="FFFCF7" w:val="clear"/>
            <w:tcMar>
              <w:top w:type="dxa" w:w="100"/>
              <w:left w:type="dxa" w:w="120"/>
              <w:bottom w:type="dxa" w:w="100"/>
              <w:right w:type="dxa" w:w="120"/>
            </w:tcMar>
          </w:tcPr>
          <w:p>
            <w:pPr>
              <w:spacing w:after="60"/>
            </w:pPr>
            <w:r>
              <w:rPr>
                <w:sz w:val="20"/>
                <w:szCs w:val="20"/>
              </w:rPr>
              <w:t xml:space="preserve">Voluntary licence signed by a rights holder or authorised representative</w:t>
            </w:r>
          </w:p>
        </w:tc>
        <w:tc>
          <w:tcPr>
            <w:tcW w:type="dxa" w:w="3790"/>
            <w:shd w:fill="FFFCF7" w:val="clear"/>
            <w:tcMar>
              <w:top w:type="dxa" w:w="100"/>
              <w:left w:type="dxa" w:w="120"/>
              <w:bottom w:type="dxa" w:w="100"/>
              <w:right w:type="dxa" w:w="120"/>
            </w:tcMar>
          </w:tcPr>
          <w:p>
            <w:pPr>
              <w:spacing w:after="60"/>
            </w:pPr>
            <w:r>
              <w:rPr>
                <w:sz w:val="20"/>
                <w:szCs w:val="20"/>
              </w:rPr>
              <w:t xml:space="preserve">Immediate only to the extent granted by the signatory</w:t>
            </w:r>
          </w:p>
        </w:tc>
      </w:tr>
      <w:tr>
        <w:tc>
          <w:tcPr>
            <w:tcW w:type="dxa" w:w="2500"/>
            <w:shd w:fill="FFFCF7" w:val="clear"/>
            <w:tcMar>
              <w:top w:type="dxa" w:w="100"/>
              <w:left w:type="dxa" w:w="120"/>
              <w:bottom w:type="dxa" w:w="100"/>
              <w:right w:type="dxa" w:w="120"/>
            </w:tcMar>
          </w:tcPr>
          <w:p>
            <w:pPr>
              <w:spacing w:after="60"/>
            </w:pPr>
            <w:r>
              <w:rPr>
                <w:sz w:val="20"/>
                <w:szCs w:val="20"/>
              </w:rPr>
              <w:t xml:space="preserve">Source B licence</w:t>
            </w:r>
          </w:p>
        </w:tc>
        <w:tc>
          <w:tcPr>
            <w:tcW w:type="dxa" w:w="3790"/>
            <w:shd w:fill="FFFCF7" w:val="clear"/>
            <w:tcMar>
              <w:top w:type="dxa" w:w="100"/>
              <w:left w:type="dxa" w:w="120"/>
              <w:bottom w:type="dxa" w:w="100"/>
              <w:right w:type="dxa" w:w="120"/>
            </w:tcMar>
          </w:tcPr>
          <w:p>
            <w:pPr>
              <w:spacing w:after="60"/>
            </w:pPr>
            <w:r>
              <w:rPr>
                <w:sz w:val="20"/>
                <w:szCs w:val="20"/>
              </w:rPr>
              <w:t xml:space="preserve">Licence issued by a competent national authority</w:t>
            </w:r>
          </w:p>
        </w:tc>
        <w:tc>
          <w:tcPr>
            <w:tcW w:type="dxa" w:w="3790"/>
            <w:shd w:fill="FFFCF7" w:val="clear"/>
            <w:tcMar>
              <w:top w:type="dxa" w:w="100"/>
              <w:left w:type="dxa" w:w="120"/>
              <w:bottom w:type="dxa" w:w="100"/>
              <w:right w:type="dxa" w:w="120"/>
            </w:tcMar>
          </w:tcPr>
          <w:p>
            <w:pPr>
              <w:spacing w:after="60"/>
            </w:pPr>
            <w:r>
              <w:rPr>
                <w:sz w:val="20"/>
                <w:szCs w:val="20"/>
              </w:rPr>
              <w:t xml:space="preserve">Valid only under governing national law and within its scope</w:t>
            </w:r>
          </w:p>
        </w:tc>
      </w:tr>
      <w:tr>
        <w:tc>
          <w:tcPr>
            <w:tcW w:type="dxa" w:w="2500"/>
            <w:shd w:fill="FFFCF7" w:val="clear"/>
            <w:tcMar>
              <w:top w:type="dxa" w:w="100"/>
              <w:left w:type="dxa" w:w="120"/>
              <w:bottom w:type="dxa" w:w="100"/>
              <w:right w:type="dxa" w:w="120"/>
            </w:tcMar>
          </w:tcPr>
          <w:p>
            <w:pPr>
              <w:spacing w:after="60"/>
            </w:pPr>
            <w:r>
              <w:rPr>
                <w:sz w:val="20"/>
                <w:szCs w:val="20"/>
              </w:rPr>
              <w:t xml:space="preserve">PRA Protocol</w:t>
            </w:r>
          </w:p>
        </w:tc>
        <w:tc>
          <w:tcPr>
            <w:tcW w:type="dxa" w:w="3790"/>
            <w:shd w:fill="FFFCF7" w:val="clear"/>
            <w:tcMar>
              <w:top w:type="dxa" w:w="100"/>
              <w:left w:type="dxa" w:w="120"/>
              <w:bottom w:type="dxa" w:w="100"/>
              <w:right w:type="dxa" w:w="120"/>
            </w:tcMar>
          </w:tcPr>
          <w:p>
            <w:pPr>
              <w:spacing w:after="60"/>
            </w:pPr>
            <w:r>
              <w:rPr>
                <w:sz w:val="20"/>
                <w:szCs w:val="20"/>
              </w:rPr>
              <w:t xml:space="preserve">Identifiers, metadata, evidence, status, revocation, and optional payment-routing information</w:t>
            </w:r>
          </w:p>
        </w:tc>
        <w:tc>
          <w:tcPr>
            <w:tcW w:type="dxa" w:w="3790"/>
            <w:shd w:fill="FFFCF7" w:val="clear"/>
            <w:tcMar>
              <w:top w:type="dxa" w:w="100"/>
              <w:left w:type="dxa" w:w="120"/>
              <w:bottom w:type="dxa" w:w="100"/>
              <w:right w:type="dxa" w:w="120"/>
            </w:tcMar>
          </w:tcPr>
          <w:p>
            <w:pPr>
              <w:spacing w:after="60"/>
            </w:pPr>
            <w:r>
              <w:rPr>
                <w:sz w:val="20"/>
                <w:szCs w:val="20"/>
              </w:rPr>
              <w:t xml:space="preserve">Evidence and interoperability; not a licence by itself</w:t>
            </w:r>
          </w:p>
        </w:tc>
      </w:tr>
    </w:tbl>
    <w:p>
      <w:pPr>
        <w:pStyle w:val="Heading2"/>
        <w:spacing w:after="150" w:before="300"/>
      </w:pPr>
      <w:r>
        <w:t xml:space="preserve">Status or permission: what each element is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3890"/>
        <w:gridCol w:w="3890"/>
      </w:tblGrid>
      <w:tr>
        <w:trPr>
          <w:tblHeader/>
        </w:trPr>
        <w:tc>
          <w:tcPr>
            <w:tcW w:type="dxa" w:w="2300"/>
            <w:shd w:fill="1B365D" w:val="clear"/>
            <w:tcMar>
              <w:top w:type="dxa" w:w="100"/>
              <w:left w:type="dxa" w:w="120"/>
              <w:bottom w:type="dxa" w:w="100"/>
              <w:right w:type="dxa" w:w="120"/>
            </w:tcMar>
          </w:tcPr>
          <w:p>
            <w:r>
              <w:rPr>
                <w:b/>
                <w:bCs/>
                <w:color w:val="FFFFFF"/>
                <w:sz w:val="20"/>
                <w:szCs w:val="20"/>
              </w:rPr>
              <w:t xml:space="preserve">Element</w:t>
            </w:r>
          </w:p>
        </w:tc>
        <w:tc>
          <w:tcPr>
            <w:tcW w:type="dxa" w:w="3890"/>
            <w:shd w:fill="1B365D" w:val="clear"/>
            <w:tcMar>
              <w:top w:type="dxa" w:w="100"/>
              <w:left w:type="dxa" w:w="120"/>
              <w:bottom w:type="dxa" w:w="100"/>
              <w:right w:type="dxa" w:w="120"/>
            </w:tcMar>
          </w:tcPr>
          <w:p>
            <w:r>
              <w:rPr>
                <w:b/>
                <w:bCs/>
                <w:color w:val="FFFFFF"/>
                <w:sz w:val="20"/>
                <w:szCs w:val="20"/>
              </w:rPr>
              <w:t xml:space="preserve">Function</w:t>
            </w:r>
          </w:p>
        </w:tc>
        <w:tc>
          <w:tcPr>
            <w:tcW w:type="dxa" w:w="3890"/>
            <w:shd w:fill="1B365D" w:val="clear"/>
            <w:tcMar>
              <w:top w:type="dxa" w:w="100"/>
              <w:left w:type="dxa" w:w="120"/>
              <w:bottom w:type="dxa" w:w="100"/>
              <w:right w:type="dxa" w:w="120"/>
            </w:tcMar>
          </w:tcPr>
          <w:p>
            <w:r>
              <w:rPr>
                <w:b/>
                <w:bCs/>
                <w:color w:val="FFFFFF"/>
                <w:sz w:val="20"/>
                <w:szCs w:val="20"/>
              </w:rPr>
              <w:t xml:space="preserve">Is it permission?</w:t>
            </w:r>
          </w:p>
        </w:tc>
      </w:tr>
      <w:tr>
        <w:tc>
          <w:tcPr>
            <w:tcW w:type="dxa" w:w="2300"/>
            <w:shd w:fill="FFFCF7" w:val="clear"/>
            <w:tcMar>
              <w:top w:type="dxa" w:w="100"/>
              <w:left w:type="dxa" w:w="120"/>
              <w:bottom w:type="dxa" w:w="100"/>
              <w:right w:type="dxa" w:w="120"/>
            </w:tcMar>
          </w:tcPr>
          <w:p>
            <w:pPr>
              <w:spacing w:after="60"/>
            </w:pPr>
            <w:r>
              <w:rPr>
                <w:sz w:val="20"/>
                <w:szCs w:val="20"/>
              </w:rPr>
              <w:t xml:space="preserve">PRA-A</w:t>
            </w:r>
          </w:p>
        </w:tc>
        <w:tc>
          <w:tcPr>
            <w:tcW w:type="dxa" w:w="3890"/>
            <w:shd w:fill="FFFCF7" w:val="clear"/>
            <w:tcMar>
              <w:top w:type="dxa" w:w="100"/>
              <w:left w:type="dxa" w:w="120"/>
              <w:bottom w:type="dxa" w:w="100"/>
              <w:right w:type="dxa" w:w="120"/>
            </w:tcMar>
          </w:tcPr>
          <w:p>
            <w:pPr>
              <w:spacing w:after="60"/>
            </w:pPr>
            <w:r>
              <w:rPr>
                <w:sz w:val="20"/>
                <w:szCs w:val="20"/>
              </w:rPr>
              <w:t xml:space="preserve">Records a rights-holder permission instrument</w:t>
            </w:r>
          </w:p>
        </w:tc>
        <w:tc>
          <w:tcPr>
            <w:tcW w:type="dxa" w:w="3890"/>
            <w:shd w:fill="FFFCF7" w:val="clear"/>
            <w:tcMar>
              <w:top w:type="dxa" w:w="100"/>
              <w:left w:type="dxa" w:w="120"/>
              <w:bottom w:type="dxa" w:w="100"/>
              <w:right w:type="dxa" w:w="120"/>
            </w:tcMar>
          </w:tcPr>
          <w:p>
            <w:pPr>
              <w:spacing w:after="60"/>
            </w:pPr>
            <w:r>
              <w:rPr>
                <w:sz w:val="20"/>
                <w:szCs w:val="20"/>
              </w:rPr>
              <w:t xml:space="preserve">Only to the extent of the underlying instrument</w:t>
            </w:r>
          </w:p>
        </w:tc>
      </w:tr>
      <w:tr>
        <w:tc>
          <w:tcPr>
            <w:tcW w:type="dxa" w:w="2300"/>
            <w:shd w:fill="FFFCF7" w:val="clear"/>
            <w:tcMar>
              <w:top w:type="dxa" w:w="100"/>
              <w:left w:type="dxa" w:w="120"/>
              <w:bottom w:type="dxa" w:w="100"/>
              <w:right w:type="dxa" w:w="120"/>
            </w:tcMar>
          </w:tcPr>
          <w:p>
            <w:pPr>
              <w:spacing w:after="60"/>
            </w:pPr>
            <w:r>
              <w:rPr>
                <w:sz w:val="20"/>
                <w:szCs w:val="20"/>
              </w:rPr>
              <w:t xml:space="preserve">PRA-B</w:t>
            </w:r>
          </w:p>
        </w:tc>
        <w:tc>
          <w:tcPr>
            <w:tcW w:type="dxa" w:w="3890"/>
            <w:shd w:fill="FFFCF7" w:val="clear"/>
            <w:tcMar>
              <w:top w:type="dxa" w:w="100"/>
              <w:left w:type="dxa" w:w="120"/>
              <w:bottom w:type="dxa" w:w="100"/>
              <w:right w:type="dxa" w:w="120"/>
            </w:tcMar>
          </w:tcPr>
          <w:p>
            <w:pPr>
              <w:spacing w:after="60"/>
            </w:pPr>
            <w:r>
              <w:rPr>
                <w:sz w:val="20"/>
                <w:szCs w:val="20"/>
              </w:rPr>
              <w:t xml:space="preserve">Records a national or statutory pathway</w:t>
            </w:r>
          </w:p>
        </w:tc>
        <w:tc>
          <w:tcPr>
            <w:tcW w:type="dxa" w:w="3890"/>
            <w:shd w:fill="FFFCF7" w:val="clear"/>
            <w:tcMar>
              <w:top w:type="dxa" w:w="100"/>
              <w:left w:type="dxa" w:w="120"/>
              <w:bottom w:type="dxa" w:w="100"/>
              <w:right w:type="dxa" w:w="120"/>
            </w:tcMar>
          </w:tcPr>
          <w:p>
            <w:pPr>
              <w:spacing w:after="60"/>
            </w:pPr>
            <w:r>
              <w:rPr>
                <w:sz w:val="20"/>
                <w:szCs w:val="20"/>
              </w:rPr>
              <w:t xml:space="preserve">Only to the extent of the applicable law or authority</w:t>
            </w:r>
          </w:p>
        </w:tc>
      </w:tr>
      <w:tr>
        <w:tc>
          <w:tcPr>
            <w:tcW w:type="dxa" w:w="2300"/>
            <w:shd w:fill="FFFCF7" w:val="clear"/>
            <w:tcMar>
              <w:top w:type="dxa" w:w="100"/>
              <w:left w:type="dxa" w:w="120"/>
              <w:bottom w:type="dxa" w:w="100"/>
              <w:right w:type="dxa" w:w="120"/>
            </w:tcMar>
          </w:tcPr>
          <w:p>
            <w:pPr>
              <w:spacing w:after="60"/>
            </w:pPr>
            <w:r>
              <w:rPr>
                <w:sz w:val="20"/>
                <w:szCs w:val="20"/>
              </w:rPr>
              <w:t xml:space="preserve">PD-V</w:t>
            </w:r>
          </w:p>
        </w:tc>
        <w:tc>
          <w:tcPr>
            <w:tcW w:type="dxa" w:w="3890"/>
            <w:shd w:fill="FFFCF7" w:val="clear"/>
            <w:tcMar>
              <w:top w:type="dxa" w:w="100"/>
              <w:left w:type="dxa" w:w="120"/>
              <w:bottom w:type="dxa" w:w="100"/>
              <w:right w:type="dxa" w:w="120"/>
            </w:tcMar>
          </w:tcPr>
          <w:p>
            <w:pPr>
              <w:spacing w:after="60"/>
            </w:pPr>
            <w:r>
              <w:rPr>
                <w:sz w:val="20"/>
                <w:szCs w:val="20"/>
              </w:rPr>
              <w:t xml:space="preserve">Records a proposed territorial public-domain finding</w:t>
            </w:r>
          </w:p>
        </w:tc>
        <w:tc>
          <w:tcPr>
            <w:tcW w:type="dxa" w:w="3890"/>
            <w:shd w:fill="FFFCF7" w:val="clear"/>
            <w:tcMar>
              <w:top w:type="dxa" w:w="100"/>
              <w:left w:type="dxa" w:w="120"/>
              <w:bottom w:type="dxa" w:w="100"/>
              <w:right w:type="dxa" w:w="120"/>
            </w:tcMar>
          </w:tcPr>
          <w:p>
            <w:pPr>
              <w:spacing w:after="60"/>
            </w:pPr>
            <w:r>
              <w:rPr>
                <w:sz w:val="20"/>
                <w:szCs w:val="20"/>
              </w:rPr>
              <w:t xml:space="preserve">No; it is a status record</w:t>
            </w:r>
          </w:p>
        </w:tc>
      </w:tr>
      <w:tr>
        <w:tc>
          <w:tcPr>
            <w:tcW w:type="dxa" w:w="2300"/>
            <w:shd w:fill="FFFCF7" w:val="clear"/>
            <w:tcMar>
              <w:top w:type="dxa" w:w="100"/>
              <w:left w:type="dxa" w:w="120"/>
              <w:bottom w:type="dxa" w:w="100"/>
              <w:right w:type="dxa" w:w="120"/>
            </w:tcMar>
          </w:tcPr>
          <w:p>
            <w:pPr>
              <w:spacing w:after="60"/>
            </w:pPr>
            <w:r>
              <w:rPr>
                <w:sz w:val="20"/>
                <w:szCs w:val="20"/>
              </w:rPr>
              <w:t xml:space="preserve">COMP-X</w:t>
            </w:r>
          </w:p>
        </w:tc>
        <w:tc>
          <w:tcPr>
            <w:tcW w:type="dxa" w:w="3890"/>
            <w:shd w:fill="FFFCF7" w:val="clear"/>
            <w:tcMar>
              <w:top w:type="dxa" w:w="100"/>
              <w:left w:type="dxa" w:w="120"/>
              <w:bottom w:type="dxa" w:w="100"/>
              <w:right w:type="dxa" w:w="120"/>
            </w:tcMar>
          </w:tcPr>
          <w:p>
            <w:pPr>
              <w:spacing w:after="60"/>
            </w:pPr>
            <w:r>
              <w:rPr>
                <w:sz w:val="20"/>
                <w:szCs w:val="20"/>
              </w:rPr>
              <w:t xml:space="preserve">Identifies excluded or separately treated components</w:t>
            </w:r>
          </w:p>
        </w:tc>
        <w:tc>
          <w:tcPr>
            <w:tcW w:type="dxa" w:w="3890"/>
            <w:shd w:fill="FFFCF7" w:val="clear"/>
            <w:tcMar>
              <w:top w:type="dxa" w:w="100"/>
              <w:left w:type="dxa" w:w="120"/>
              <w:bottom w:type="dxa" w:w="100"/>
              <w:right w:type="dxa" w:w="120"/>
            </w:tcMar>
          </w:tcPr>
          <w:p>
            <w:pPr>
              <w:spacing w:after="60"/>
            </w:pPr>
            <w:r>
              <w:rPr>
                <w:sz w:val="20"/>
                <w:szCs w:val="20"/>
              </w:rPr>
              <w:t xml:space="preserve">No</w:t>
            </w:r>
          </w:p>
        </w:tc>
      </w:tr>
      <w:tr>
        <w:tc>
          <w:tcPr>
            <w:tcW w:type="dxa" w:w="2300"/>
            <w:shd w:fill="FFFCF7" w:val="clear"/>
            <w:tcMar>
              <w:top w:type="dxa" w:w="100"/>
              <w:left w:type="dxa" w:w="120"/>
              <w:bottom w:type="dxa" w:w="100"/>
              <w:right w:type="dxa" w:w="120"/>
            </w:tcMar>
          </w:tcPr>
          <w:p>
            <w:pPr>
              <w:spacing w:after="60"/>
            </w:pPr>
            <w:r>
              <w:rPr>
                <w:sz w:val="20"/>
                <w:szCs w:val="20"/>
              </w:rPr>
              <w:t xml:space="preserve">P / N / C / T / R</w:t>
            </w:r>
          </w:p>
        </w:tc>
        <w:tc>
          <w:tcPr>
            <w:tcW w:type="dxa" w:w="3890"/>
            <w:shd w:fill="FFFCF7" w:val="clear"/>
            <w:tcMar>
              <w:top w:type="dxa" w:w="100"/>
              <w:left w:type="dxa" w:w="120"/>
              <w:bottom w:type="dxa" w:w="100"/>
              <w:right w:type="dxa" w:w="120"/>
            </w:tcMar>
          </w:tcPr>
          <w:p>
            <w:pPr>
              <w:spacing w:after="60"/>
            </w:pPr>
            <w:r>
              <w:rPr>
                <w:sz w:val="20"/>
                <w:szCs w:val="20"/>
              </w:rPr>
              <w:t xml:space="preserve">Describes intended use or handling</w:t>
            </w:r>
          </w:p>
        </w:tc>
        <w:tc>
          <w:tcPr>
            <w:tcW w:type="dxa" w:w="3890"/>
            <w:shd w:fill="FFFCF7" w:val="clear"/>
            <w:tcMar>
              <w:top w:type="dxa" w:w="100"/>
              <w:left w:type="dxa" w:w="120"/>
              <w:bottom w:type="dxa" w:w="100"/>
              <w:right w:type="dxa" w:w="120"/>
            </w:tcMar>
          </w:tcPr>
          <w:p>
            <w:pPr>
              <w:spacing w:after="60"/>
            </w:pPr>
            <w:r>
              <w:rPr>
                <w:sz w:val="20"/>
                <w:szCs w:val="20"/>
              </w:rPr>
              <w:t xml:space="preserve">No, unless linked to a valid basis</w:t>
            </w:r>
          </w:p>
        </w:tc>
      </w:tr>
      <w:tr>
        <w:tc>
          <w:tcPr>
            <w:tcW w:type="dxa" w:w="2300"/>
            <w:shd w:fill="FFFCF7" w:val="clear"/>
            <w:tcMar>
              <w:top w:type="dxa" w:w="100"/>
              <w:left w:type="dxa" w:w="120"/>
              <w:bottom w:type="dxa" w:w="100"/>
              <w:right w:type="dxa" w:w="120"/>
            </w:tcMar>
          </w:tcPr>
          <w:p>
            <w:pPr>
              <w:spacing w:after="60"/>
            </w:pPr>
            <w:r>
              <w:rPr>
                <w:sz w:val="20"/>
                <w:szCs w:val="20"/>
              </w:rPr>
              <w:t xml:space="preserve">PRA-ID</w:t>
            </w:r>
          </w:p>
        </w:tc>
        <w:tc>
          <w:tcPr>
            <w:tcW w:type="dxa" w:w="3890"/>
            <w:shd w:fill="FFFCF7" w:val="clear"/>
            <w:tcMar>
              <w:top w:type="dxa" w:w="100"/>
              <w:left w:type="dxa" w:w="120"/>
              <w:bottom w:type="dxa" w:w="100"/>
              <w:right w:type="dxa" w:w="120"/>
            </w:tcMar>
          </w:tcPr>
          <w:p>
            <w:pPr>
              <w:spacing w:after="60"/>
            </w:pPr>
            <w:r>
              <w:rPr>
                <w:sz w:val="20"/>
                <w:szCs w:val="20"/>
              </w:rPr>
              <w:t xml:space="preserve">Identifies the record</w:t>
            </w:r>
          </w:p>
        </w:tc>
        <w:tc>
          <w:tcPr>
            <w:tcW w:type="dxa" w:w="3890"/>
            <w:shd w:fill="FFFCF7" w:val="clear"/>
            <w:tcMar>
              <w:top w:type="dxa" w:w="100"/>
              <w:left w:type="dxa" w:w="120"/>
              <w:bottom w:type="dxa" w:w="100"/>
              <w:right w:type="dxa" w:w="120"/>
            </w:tcMar>
          </w:tcPr>
          <w:p>
            <w:pPr>
              <w:spacing w:after="60"/>
            </w:pPr>
            <w:r>
              <w:rPr>
                <w:sz w:val="20"/>
                <w:szCs w:val="20"/>
              </w:rPr>
              <w:t xml:space="preserve">No</w:t>
            </w:r>
          </w:p>
        </w:tc>
      </w:tr>
    </w:tbl>
    <w:p>
      <w:pPr>
        <w:pStyle w:val="Heading2"/>
        <w:spacing w:after="150" w:before="300"/>
      </w:pPr>
      <w:r>
        <w:t xml:space="preserve">3. Source A: voluntary deed</w:t>
      </w:r>
    </w:p>
    <w:p>
      <w:pPr>
        <w:spacing w:after="160"/>
      </w:pPr>
      <w:r>
        <w:t xml:space="preserve">A Source A deed is an ordinary voluntary rights grant created by an author, estate, publisher, or other party that actually controls the relevant right. It must not be presented as statutory orphan-work permission. It identifies the work, edition, rights holder, precise rights granted, territory, language, format, user class, term, royalty, excluded components, attribution, integrity and withdrawal terms, authority to sign, and applicable law.</w:t>
      </w:r>
    </w:p>
    <w:p>
      <w:pPr>
        <w:pStyle w:val="Heading2"/>
        <w:spacing w:after="150" w:before="300"/>
      </w:pPr>
      <w:r>
        <w:t xml:space="preserve">4. Source B: national authority licence</w:t>
      </w:r>
    </w:p>
    <w:p>
      <w:pPr>
        <w:spacing w:after="160"/>
      </w:pPr>
      <w:r>
        <w:t xml:space="preserve">Source B is available only where national law authorises an IP office, copyright board, court, ministry, statutory agency, or expressly mandated collective-management body to issue the permission. PRA itself does not determine whether an entity is competent. An ordinary platform or ordinary CMO cannot issue Source B merely because it completed a search.</w:t>
      </w:r>
    </w:p>
    <w:p>
      <w:pPr>
        <w:spacing w:after="160"/>
      </w:pPr>
      <w:r>
        <w:t xml:space="preserve">A Source B licence is non-exclusive and territorial; time-limited and use-specific; based on a recorded diligent search and availability assessment; subject to notice, objections, appeals and judicial review under national law; recorded in a public register with the statutory basis and decision identifier; and subject to national rules on remuneration, privacy, liability and unclaimed funds.</w:t>
      </w:r>
    </w:p>
    <w:p>
      <w:pPr>
        <w:pStyle w:val="Heading2"/>
        <w:spacing w:after="150" w:before="300"/>
      </w:pPr>
      <w:r>
        <w:t xml:space="preserve">5. Eligibility and diligent search</w:t>
      </w:r>
    </w:p>
    <w:p>
      <w:pPr>
        <w:spacing w:after="160"/>
      </w:pPr>
      <w:r>
        <w:t xml:space="preserve">A work may enter a Source B process only if it is published, protected or uncertain in status, unavailable through defined customary channels in the relevant territory and language, and supported by a completed search covering the main work and relevant embedded works. The implementing authority must define the availability test, search sources, relevant period, language and territory. A located rights holder who is contacted but remains silent is not automatically unlocatable. Silence must not be treated as consent.</w:t>
      </w:r>
    </w:p>
    <w:p>
      <w:pPr>
        <w:pStyle w:val="Heading2"/>
        <w:spacing w:after="150" w:before="300"/>
      </w:pPr>
      <w:r>
        <w:t xml:space="preserve">6. Rights-layer inventory</w:t>
      </w:r>
    </w:p>
    <w:p>
      <w:pPr>
        <w:spacing w:after="160"/>
      </w:pPr>
      <w:r>
        <w:t xml:space="preserve">The system must not treat “the book” as a single undifferentiated right. Each component (main text, translation, photographs, illustrations, maps, cover and typography, foreword and editorial matter, and cultural or traditional material) is separately identified and either cleared, excluded, replaced, or separately licensed. An unsearched component defaults to exclusion from the claimed reprint scope.</w:t>
      </w:r>
    </w:p>
    <w:p>
      <w:pPr>
        <w:pStyle w:val="Heading2"/>
        <w:spacing w:after="150" w:before="300"/>
      </w:pPr>
      <w:r>
        <w:t xml:space="preserve">7. Permission profiles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600"/>
        <w:gridCol w:w="3800"/>
        <w:gridCol w:w="3800"/>
      </w:tblGrid>
      <w:tr>
        <w:trPr>
          <w:tblHeader/>
        </w:trPr>
        <w:tc>
          <w:tcPr>
            <w:tcW w:type="dxa" w:w="1600"/>
            <w:shd w:fill="1B365D" w:val="clear"/>
            <w:tcMar>
              <w:top w:type="dxa" w:w="100"/>
              <w:left w:type="dxa" w:w="120"/>
              <w:bottom w:type="dxa" w:w="100"/>
              <w:right w:type="dxa" w:w="120"/>
            </w:tcMar>
          </w:tcPr>
          <w:p>
            <w:r>
              <w:rPr>
                <w:b/>
                <w:bCs/>
                <w:color w:val="FFFFFF"/>
                <w:sz w:val="20"/>
                <w:szCs w:val="20"/>
              </w:rPr>
              <w:t xml:space="preserve">Profile</w:t>
            </w:r>
          </w:p>
        </w:tc>
        <w:tc>
          <w:tcPr>
            <w:tcW w:type="dxa" w:w="3800"/>
            <w:shd w:fill="1B365D" w:val="clear"/>
            <w:tcMar>
              <w:top w:type="dxa" w:w="100"/>
              <w:left w:type="dxa" w:w="120"/>
              <w:bottom w:type="dxa" w:w="100"/>
              <w:right w:type="dxa" w:w="120"/>
            </w:tcMar>
          </w:tcPr>
          <w:p>
            <w:r>
              <w:rPr>
                <w:b/>
                <w:bCs/>
                <w:color w:val="FFFFFF"/>
                <w:sz w:val="20"/>
                <w:szCs w:val="20"/>
              </w:rPr>
              <w:t xml:space="preserve">Purpose</w:t>
            </w:r>
          </w:p>
        </w:tc>
        <w:tc>
          <w:tcPr>
            <w:tcW w:type="dxa" w:w="3800"/>
            <w:shd w:fill="1B365D" w:val="clear"/>
            <w:tcMar>
              <w:top w:type="dxa" w:w="100"/>
              <w:left w:type="dxa" w:w="120"/>
              <w:bottom w:type="dxa" w:w="100"/>
              <w:right w:type="dxa" w:w="120"/>
            </w:tcMar>
          </w:tcPr>
          <w:p>
            <w:r>
              <w:rPr>
                <w:b/>
                <w:bCs/>
                <w:color w:val="FFFFFF"/>
                <w:sz w:val="20"/>
                <w:szCs w:val="20"/>
              </w:rPr>
              <w:t xml:space="preserve">Critical limit</w:t>
            </w:r>
          </w:p>
        </w:tc>
      </w:tr>
      <w:tr>
        <w:tc>
          <w:tcPr>
            <w:tcW w:type="dxa" w:w="1600"/>
            <w:shd w:fill="FFFCF7" w:val="clear"/>
            <w:tcMar>
              <w:top w:type="dxa" w:w="100"/>
              <w:left w:type="dxa" w:w="120"/>
              <w:bottom w:type="dxa" w:w="100"/>
              <w:right w:type="dxa" w:w="120"/>
            </w:tcMar>
          </w:tcPr>
          <w:p>
            <w:pPr>
              <w:spacing w:after="60"/>
            </w:pPr>
            <w:r>
              <w:rPr>
                <w:sz w:val="20"/>
                <w:szCs w:val="20"/>
              </w:rPr>
              <w:t xml:space="preserve">PRA-P</w:t>
            </w:r>
          </w:p>
        </w:tc>
        <w:tc>
          <w:tcPr>
            <w:tcW w:type="dxa" w:w="3800"/>
            <w:shd w:fill="FFFCF7" w:val="clear"/>
            <w:tcMar>
              <w:top w:type="dxa" w:w="100"/>
              <w:left w:type="dxa" w:w="120"/>
              <w:bottom w:type="dxa" w:w="100"/>
              <w:right w:type="dxa" w:w="120"/>
            </w:tcMar>
          </w:tcPr>
          <w:p>
            <w:pPr>
              <w:spacing w:after="60"/>
            </w:pPr>
            <w:r>
              <w:rPr>
                <w:sz w:val="20"/>
                <w:szCs w:val="20"/>
              </w:rPr>
              <w:t xml:space="preserve">Limited personal copy</w:t>
            </w:r>
          </w:p>
        </w:tc>
        <w:tc>
          <w:tcPr>
            <w:tcW w:type="dxa" w:w="3800"/>
            <w:shd w:fill="FFFCF7" w:val="clear"/>
            <w:tcMar>
              <w:top w:type="dxa" w:w="100"/>
              <w:left w:type="dxa" w:w="120"/>
              <w:bottom w:type="dxa" w:w="100"/>
              <w:right w:type="dxa" w:w="120"/>
            </w:tcMar>
          </w:tcPr>
          <w:p>
            <w:pPr>
              <w:spacing w:after="60"/>
            </w:pPr>
            <w:r>
              <w:rPr>
                <w:sz w:val="20"/>
                <w:szCs w:val="20"/>
              </w:rPr>
              <w:t xml:space="preserve">Only where Source A or national law already allows it; no universal one-copy identity log</w:t>
            </w:r>
          </w:p>
        </w:tc>
      </w:tr>
      <w:tr>
        <w:tc>
          <w:tcPr>
            <w:tcW w:type="dxa" w:w="1600"/>
            <w:shd w:fill="FFFCF7" w:val="clear"/>
            <w:tcMar>
              <w:top w:type="dxa" w:w="100"/>
              <w:left w:type="dxa" w:w="120"/>
              <w:bottom w:type="dxa" w:w="100"/>
              <w:right w:type="dxa" w:w="120"/>
            </w:tcMar>
          </w:tcPr>
          <w:p>
            <w:pPr>
              <w:spacing w:after="60"/>
            </w:pPr>
            <w:r>
              <w:rPr>
                <w:sz w:val="20"/>
                <w:szCs w:val="20"/>
              </w:rPr>
              <w:t xml:space="preserve">PRA-N</w:t>
            </w:r>
          </w:p>
        </w:tc>
        <w:tc>
          <w:tcPr>
            <w:tcW w:type="dxa" w:w="3800"/>
            <w:shd w:fill="FFFCF7" w:val="clear"/>
            <w:tcMar>
              <w:top w:type="dxa" w:w="100"/>
              <w:left w:type="dxa" w:w="120"/>
              <w:bottom w:type="dxa" w:w="100"/>
              <w:right w:type="dxa" w:w="120"/>
            </w:tcMar>
          </w:tcPr>
          <w:p>
            <w:pPr>
              <w:spacing w:after="60"/>
            </w:pPr>
            <w:r>
              <w:rPr>
                <w:sz w:val="20"/>
                <w:szCs w:val="20"/>
              </w:rPr>
              <w:t xml:space="preserve">Non-commercial institutional or community reprint</w:t>
            </w:r>
          </w:p>
        </w:tc>
        <w:tc>
          <w:tcPr>
            <w:tcW w:type="dxa" w:w="3800"/>
            <w:shd w:fill="FFFCF7" w:val="clear"/>
            <w:tcMar>
              <w:top w:type="dxa" w:w="100"/>
              <w:left w:type="dxa" w:w="120"/>
              <w:bottom w:type="dxa" w:w="100"/>
              <w:right w:type="dxa" w:w="120"/>
            </w:tcMar>
          </w:tcPr>
          <w:p>
            <w:pPr>
              <w:spacing w:after="60"/>
            </w:pPr>
            <w:r>
              <w:rPr>
                <w:sz w:val="20"/>
                <w:szCs w:val="20"/>
              </w:rPr>
              <w:t xml:space="preserve">No commercial resale unless authorised; remuneration may still be due under national law</w:t>
            </w:r>
          </w:p>
        </w:tc>
      </w:tr>
      <w:tr>
        <w:tc>
          <w:tcPr>
            <w:tcW w:type="dxa" w:w="1600"/>
            <w:shd w:fill="FFFCF7" w:val="clear"/>
            <w:tcMar>
              <w:top w:type="dxa" w:w="100"/>
              <w:left w:type="dxa" w:w="120"/>
              <w:bottom w:type="dxa" w:w="100"/>
              <w:right w:type="dxa" w:w="120"/>
            </w:tcMar>
          </w:tcPr>
          <w:p>
            <w:pPr>
              <w:spacing w:after="60"/>
            </w:pPr>
            <w:r>
              <w:rPr>
                <w:sz w:val="20"/>
                <w:szCs w:val="20"/>
              </w:rPr>
              <w:t xml:space="preserve">PRA-C</w:t>
            </w:r>
          </w:p>
        </w:tc>
        <w:tc>
          <w:tcPr>
            <w:tcW w:type="dxa" w:w="3800"/>
            <w:shd w:fill="FFFCF7" w:val="clear"/>
            <w:tcMar>
              <w:top w:type="dxa" w:w="100"/>
              <w:left w:type="dxa" w:w="120"/>
              <w:bottom w:type="dxa" w:w="100"/>
              <w:right w:type="dxa" w:w="120"/>
            </w:tcMar>
          </w:tcPr>
          <w:p>
            <w:pPr>
              <w:spacing w:after="60"/>
            </w:pPr>
            <w:r>
              <w:rPr>
                <w:sz w:val="20"/>
                <w:szCs w:val="20"/>
              </w:rPr>
              <w:t xml:space="preserve">Commercial reprint</w:t>
            </w:r>
          </w:p>
        </w:tc>
        <w:tc>
          <w:tcPr>
            <w:tcW w:type="dxa" w:w="3800"/>
            <w:shd w:fill="FFFCF7" w:val="clear"/>
            <w:tcMar>
              <w:top w:type="dxa" w:w="100"/>
              <w:left w:type="dxa" w:w="120"/>
              <w:bottom w:type="dxa" w:w="100"/>
              <w:right w:type="dxa" w:w="120"/>
            </w:tcMar>
          </w:tcPr>
          <w:p>
            <w:pPr>
              <w:spacing w:after="60"/>
            </w:pPr>
            <w:r>
              <w:rPr>
                <w:sz w:val="20"/>
                <w:szCs w:val="20"/>
              </w:rPr>
              <w:t xml:space="preserve">Needs explicit commercial permission, a posted national tariff, and reporting; no tariff, no PRA-C under Source B</w:t>
            </w:r>
          </w:p>
        </w:tc>
      </w:tr>
      <w:tr>
        <w:tc>
          <w:tcPr>
            <w:tcW w:type="dxa" w:w="1600"/>
            <w:shd w:fill="FFFCF7" w:val="clear"/>
            <w:tcMar>
              <w:top w:type="dxa" w:w="100"/>
              <w:left w:type="dxa" w:w="120"/>
              <w:bottom w:type="dxa" w:w="100"/>
              <w:right w:type="dxa" w:w="120"/>
            </w:tcMar>
          </w:tcPr>
          <w:p>
            <w:pPr>
              <w:spacing w:after="60"/>
            </w:pPr>
            <w:r>
              <w:rPr>
                <w:sz w:val="20"/>
                <w:szCs w:val="20"/>
              </w:rPr>
              <w:t xml:space="preserve">PRA-T</w:t>
            </w:r>
          </w:p>
        </w:tc>
        <w:tc>
          <w:tcPr>
            <w:tcW w:type="dxa" w:w="3800"/>
            <w:shd w:fill="FFFCF7" w:val="clear"/>
            <w:tcMar>
              <w:top w:type="dxa" w:w="100"/>
              <w:left w:type="dxa" w:w="120"/>
              <w:bottom w:type="dxa" w:w="100"/>
              <w:right w:type="dxa" w:w="120"/>
            </w:tcMar>
          </w:tcPr>
          <w:p>
            <w:pPr>
              <w:spacing w:after="60"/>
            </w:pPr>
            <w:r>
              <w:rPr>
                <w:sz w:val="20"/>
                <w:szCs w:val="20"/>
              </w:rPr>
              <w:t xml:space="preserve">Translation</w:t>
            </w:r>
          </w:p>
        </w:tc>
        <w:tc>
          <w:tcPr>
            <w:tcW w:type="dxa" w:w="3800"/>
            <w:shd w:fill="FFFCF7" w:val="clear"/>
            <w:tcMar>
              <w:top w:type="dxa" w:w="100"/>
              <w:left w:type="dxa" w:w="120"/>
              <w:bottom w:type="dxa" w:w="100"/>
              <w:right w:type="dxa" w:w="120"/>
            </w:tcMar>
          </w:tcPr>
          <w:p>
            <w:pPr>
              <w:spacing w:after="60"/>
            </w:pPr>
            <w:r>
              <w:rPr>
                <w:sz w:val="20"/>
                <w:szCs w:val="20"/>
              </w:rPr>
              <w:t xml:space="preserve">Translation rights are separate; first pilots should treat PRA-T as Source A only</w:t>
            </w:r>
          </w:p>
        </w:tc>
      </w:tr>
      <w:tr>
        <w:tc>
          <w:tcPr>
            <w:tcW w:type="dxa" w:w="1600"/>
            <w:shd w:fill="FFFCF7" w:val="clear"/>
            <w:tcMar>
              <w:top w:type="dxa" w:w="100"/>
              <w:left w:type="dxa" w:w="120"/>
              <w:bottom w:type="dxa" w:w="100"/>
              <w:right w:type="dxa" w:w="120"/>
            </w:tcMar>
          </w:tcPr>
          <w:p>
            <w:pPr>
              <w:spacing w:after="60"/>
            </w:pPr>
            <w:r>
              <w:rPr>
                <w:sz w:val="20"/>
                <w:szCs w:val="20"/>
              </w:rPr>
              <w:t xml:space="preserve">PRA-R</w:t>
            </w:r>
          </w:p>
        </w:tc>
        <w:tc>
          <w:tcPr>
            <w:tcW w:type="dxa" w:w="3800"/>
            <w:shd w:fill="FFFCF7" w:val="clear"/>
            <w:tcMar>
              <w:top w:type="dxa" w:w="100"/>
              <w:left w:type="dxa" w:w="120"/>
              <w:bottom w:type="dxa" w:w="100"/>
              <w:right w:type="dxa" w:w="120"/>
            </w:tcMar>
          </w:tcPr>
          <w:p>
            <w:pPr>
              <w:spacing w:after="60"/>
            </w:pPr>
            <w:r>
              <w:rPr>
                <w:sz w:val="20"/>
                <w:szCs w:val="20"/>
              </w:rPr>
              <w:t xml:space="preserve">Territory- or language-limited use</w:t>
            </w:r>
          </w:p>
        </w:tc>
        <w:tc>
          <w:tcPr>
            <w:tcW w:type="dxa" w:w="3800"/>
            <w:shd w:fill="FFFCF7" w:val="clear"/>
            <w:tcMar>
              <w:top w:type="dxa" w:w="100"/>
              <w:left w:type="dxa" w:w="120"/>
              <w:bottom w:type="dxa" w:w="100"/>
              <w:right w:type="dxa" w:w="120"/>
            </w:tcMar>
          </w:tcPr>
          <w:p>
            <w:pPr>
              <w:spacing w:after="60"/>
            </w:pPr>
            <w:r>
              <w:rPr>
                <w:sz w:val="20"/>
                <w:szCs w:val="20"/>
              </w:rPr>
              <w:t xml:space="preserve">Must be reassessed if an authorised edition enters the relevant market; it may expire, narrow, or remain active depending on the underlying authority</w:t>
            </w:r>
          </w:p>
        </w:tc>
      </w:tr>
    </w:tbl>
    <w:p>
      <w:pPr>
        <w:spacing w:after="160"/>
      </w:pPr>
      <w:r>
        <w:t xml:space="preserve">A profile is not independently operative. It must point to the Source A deed or Source B decision that supplies its legal authority.</w:t>
      </w:r>
    </w:p>
    <w:p>
      <w:pPr>
        <w:pStyle w:val="Heading1"/>
        <w:spacing w:after="200" w:before="400"/>
      </w:pPr>
      <w:r>
        <w:t xml:space="preserve">Part II: Built to map, not replace</w:t>
      </w:r>
    </w:p>
    <w:p>
      <w:pPr>
        <w:spacing w:after="160"/>
      </w:pPr>
      <w:r>
        <w:t xml:space="preserve">PRA is designed as a print-facing companion layer. Where an existing rights statement, licence, public-domain tool, institutional record, or national registry applies, the PRA record should link to it rather than duplicate or override it. </w:t>
      </w:r>
      <w:hyperlink w:history="1" r:id="rIdtx5bhptimerotcd1yg0o4">
        <w:r>
          <w:rPr>
            <w:color w:val="1F6B5A"/>
            <w:u w:val="single"/>
          </w:rPr>
          <w:t xml:space="preserve">RightsStatements.org</w:t>
        </w:r>
      </w:hyperlink>
      <w:r>
        <w:t xml:space="preserve"> already provides rights statements and uncertainty-oriented categories; its statements are not themselves general licences. </w:t>
      </w:r>
      <w:hyperlink w:history="1" r:id="rIdaqvqfkrmx-zbgtr1p4izc">
        <w:r>
          <w:rPr>
            <w:color w:val="1F6B5A"/>
            <w:u w:val="single"/>
          </w:rPr>
          <w:t xml:space="preserve">Creative Commons' Public Domain Mark</w:t>
        </w:r>
      </w:hyperlink>
      <w:r>
        <w:t xml:space="preserve"> is intended for works believed free of known restrictions worldwide, whereas PD-V is proposed for territory- and component-specific assessments. </w:t>
      </w:r>
      <w:hyperlink w:history="1" r:id="rIdbqhk_c-eidbvs5f6c1iw-">
        <w:r>
          <w:rPr>
            <w:color w:val="1F6B5A"/>
            <w:u w:val="single"/>
          </w:rPr>
          <w:t xml:space="preserve">HathiTrust</w:t>
        </w:r>
      </w:hyperlink>
      <w:r>
        <w:t xml:space="preserve"> demonstrates operational rights metadata at scale, and the </w:t>
      </w:r>
      <w:hyperlink w:history="1" r:id="rId4vlxek7c4uisq1qmxp46c">
        <w:r>
          <w:rPr>
            <w:color w:val="1F6B5A"/>
            <w:u w:val="single"/>
          </w:rPr>
          <w:t xml:space="preserve">EUIPO out-of-commerce works portal</w:t>
        </w:r>
      </w:hyperlink>
      <w:r>
        <w:t xml:space="preserve"> demonstrates public information and opt-out mechanisms for out-of-commerce works. PRA adds the physical-copy, component, and reprint workflow; it does not replace those systems.</w:t>
      </w:r>
    </w:p>
    <w:p>
      <w:pPr>
        <w:spacing w:after="160"/>
      </w:pPr>
      <w:r>
        <w:t xml:space="preserve">The novelty PRA claims is cumulative, not categorical: a print-legible notice, resolvable identifier, component-level attribution, territorial qualification, event-based history, and explicit separation between information and legal authority. This is a design-combination claim, not a claim that no individual feature exists elsewhere.</w:t>
      </w:r>
    </w:p>
    <w:p>
      <w:pPr>
        <w:spacing w:after="160"/>
      </w:pPr>
      <w:r>
        <w:t xml:space="preserve">Source B is not a novel legal mechanism. Administrative licensing of works after a diligent search, when the owner cannot be located, is established practice in </w:t>
      </w:r>
      <w:hyperlink w:history="1" r:id="rId6ld1y7oj2h0tbx4xoviu9">
        <w:r>
          <w:rPr>
            <w:color w:val="1F6B5A"/>
            <w:u w:val="single"/>
          </w:rPr>
          <w:t xml:space="preserve">Canada</w:t>
        </w:r>
      </w:hyperlink>
      <w:r>
        <w:t xml:space="preserve"> (Copyright Act, s.77, administered by the Copyright Board since the 1990s), the </w:t>
      </w:r>
      <w:hyperlink w:history="1" r:id="rIdfu3z2agg8y7vbsa9ji_9k">
        <w:r>
          <w:rPr>
            <w:color w:val="1F6B5A"/>
            <w:u w:val="single"/>
          </w:rPr>
          <w:t xml:space="preserve">United Kingdom</w:t>
        </w:r>
      </w:hyperlink>
      <w:r>
        <w:t xml:space="preserve"> (Orphan Works Licensing Scheme, Intellectual Property Office, in force since 29 October 2014, non-exclusive licences for up to seven years), and </w:t>
      </w:r>
      <w:hyperlink w:history="1" r:id="rIdnfmv4m2nmy113lbviof6t">
        <w:r>
          <w:rPr>
            <w:color w:val="1F6B5A"/>
            <w:u w:val="single"/>
          </w:rPr>
          <w:t xml:space="preserve">Japan</w:t>
        </w:r>
      </w:hyperlink>
      <w:r>
        <w:t xml:space="preserve"> (Copyright Act, Art. 67, compulsory licence issued by the Commissioner of the Agency for Cultural Affairs, most recently extended by a 2023 amendment to a broader class of works whose owner's intentions cannot be confirmed). India's Copyright Act, 1957, s.31A, addresses works whose author is dead, unknown, or untraceable, and is the most directly relevant domestic precedent for the reprint trade discussed in the accompanying addendum.</w:t>
      </w:r>
    </w:p>
    <w:p>
      <w:pPr>
        <w:spacing w:after="160"/>
      </w:pPr>
      <w:r>
        <w:t xml:space="preserve">The limits of substituting an author's silence or a presumption of consent for the author's own permission were addressed directly by the Court of Justice of the European Union in Soulier and Doke v Premier ministre (Case C-301/15, judgment of 16 November 2016), which held that national legislation replacing an author's express, prior consent with tacit consent infringes the reproduction and communication rights protected by EU law. PRA's rule that silence after notice is not consent (Part I, section 5) follows that reasoning.</w:t>
      </w:r>
    </w:p>
    <w:p>
      <w:pPr>
        <w:spacing w:after="160"/>
      </w:pPr>
      <w:r>
        <w:t xml:space="preserve">The governance risk of a single private registry acquiring de facto control over orphan-work exploitation is not hypothetical: it is the reason the proposed Google Books settlement was rejected (Authors Guild v. Google, 770 F. Supp. 2d 666 (S.D.N.Y. 2011)). PRA's multiple-node, non-exclusive design (Part III, section 9) is built to fail that same test if it ever drifts toward a single gatekeeper. A separate, earlier caution is the Automated Content Access Protocol (2006-2012), an industry-proposed machine-readable rights protocol that failed to achieve adoption by the platforms it needed to reach; that outcome is addressed in the pilot design (Part IV, section 14).</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3400"/>
        <w:gridCol w:w="4380"/>
      </w:tblGrid>
      <w:tr>
        <w:trPr>
          <w:tblHeader/>
        </w:trPr>
        <w:tc>
          <w:tcPr>
            <w:tcW w:type="dxa" w:w="2300"/>
            <w:shd w:fill="1B365D" w:val="clear"/>
            <w:tcMar>
              <w:top w:type="dxa" w:w="100"/>
              <w:left w:type="dxa" w:w="120"/>
              <w:bottom w:type="dxa" w:w="100"/>
              <w:right w:type="dxa" w:w="120"/>
            </w:tcMar>
          </w:tcPr>
          <w:p>
            <w:r>
              <w:rPr>
                <w:b/>
                <w:bCs/>
                <w:color w:val="FFFFFF"/>
                <w:sz w:val="20"/>
                <w:szCs w:val="20"/>
              </w:rPr>
              <w:t xml:space="preserve">PRA concept</w:t>
            </w:r>
          </w:p>
        </w:tc>
        <w:tc>
          <w:tcPr>
            <w:tcW w:type="dxa" w:w="3400"/>
            <w:shd w:fill="1B365D" w:val="clear"/>
            <w:tcMar>
              <w:top w:type="dxa" w:w="100"/>
              <w:left w:type="dxa" w:w="120"/>
              <w:bottom w:type="dxa" w:w="100"/>
              <w:right w:type="dxa" w:w="120"/>
            </w:tcMar>
          </w:tcPr>
          <w:p>
            <w:r>
              <w:rPr>
                <w:b/>
                <w:bCs/>
                <w:color w:val="FFFFFF"/>
                <w:sz w:val="20"/>
                <w:szCs w:val="20"/>
              </w:rPr>
              <w:t xml:space="preserve">Closest external analogue</w:t>
            </w:r>
          </w:p>
        </w:tc>
        <w:tc>
          <w:tcPr>
            <w:tcW w:type="dxa" w:w="4380"/>
            <w:shd w:fill="1B365D" w:val="clear"/>
            <w:tcMar>
              <w:top w:type="dxa" w:w="100"/>
              <w:left w:type="dxa" w:w="120"/>
              <w:bottom w:type="dxa" w:w="100"/>
              <w:right w:type="dxa" w:w="120"/>
            </w:tcMar>
          </w:tcPr>
          <w:p>
            <w:r>
              <w:rPr>
                <w:b/>
                <w:bCs/>
                <w:color w:val="FFFFFF"/>
                <w:sz w:val="20"/>
                <w:szCs w:val="20"/>
              </w:rPr>
              <w:t xml:space="preserve">Limitation</w:t>
            </w:r>
          </w:p>
        </w:tc>
      </w:tr>
      <w:tr>
        <w:tc>
          <w:tcPr>
            <w:tcW w:type="dxa" w:w="2300"/>
            <w:shd w:fill="FFFCF7" w:val="clear"/>
            <w:tcMar>
              <w:top w:type="dxa" w:w="100"/>
              <w:left w:type="dxa" w:w="120"/>
              <w:bottom w:type="dxa" w:w="100"/>
              <w:right w:type="dxa" w:w="120"/>
            </w:tcMar>
          </w:tcPr>
          <w:p>
            <w:pPr>
              <w:spacing w:after="60"/>
            </w:pPr>
            <w:r>
              <w:rPr>
                <w:sz w:val="20"/>
                <w:szCs w:val="20"/>
              </w:rPr>
              <w:t xml:space="preserve">PRA-B: national pathway</w:t>
            </w:r>
          </w:p>
        </w:tc>
        <w:tc>
          <w:tcPr>
            <w:tcW w:type="dxa" w:w="3400"/>
            <w:shd w:fill="FFFCF7" w:val="clear"/>
            <w:tcMar>
              <w:top w:type="dxa" w:w="100"/>
              <w:left w:type="dxa" w:w="120"/>
              <w:bottom w:type="dxa" w:w="100"/>
              <w:right w:type="dxa" w:w="120"/>
            </w:tcMar>
          </w:tcPr>
          <w:p>
            <w:pPr>
              <w:spacing w:after="60"/>
            </w:pPr>
            <w:r>
              <w:rPr>
                <w:sz w:val="20"/>
                <w:szCs w:val="20"/>
              </w:rPr>
              <w:t xml:space="preserve">RightsStatements.org InC-RUU; relevant national orphan/out-of-commerce system</w:t>
            </w:r>
          </w:p>
        </w:tc>
        <w:tc>
          <w:tcPr>
            <w:tcW w:type="dxa" w:w="4380"/>
            <w:shd w:fill="FFFCF7" w:val="clear"/>
            <w:tcMar>
              <w:top w:type="dxa" w:w="100"/>
              <w:left w:type="dxa" w:w="120"/>
              <w:bottom w:type="dxa" w:w="100"/>
              <w:right w:type="dxa" w:w="120"/>
            </w:tcMar>
          </w:tcPr>
          <w:p>
            <w:pPr>
              <w:spacing w:after="60"/>
            </w:pPr>
            <w:r>
              <w:rPr>
                <w:sz w:val="20"/>
                <w:szCs w:val="20"/>
              </w:rPr>
              <w:t xml:space="preserve">A status statement is not itself a licence; PRA-B requires an actual national legal basis</w:t>
            </w:r>
          </w:p>
        </w:tc>
      </w:tr>
      <w:tr>
        <w:tc>
          <w:tcPr>
            <w:tcW w:type="dxa" w:w="2300"/>
            <w:shd w:fill="FFFCF7" w:val="clear"/>
            <w:tcMar>
              <w:top w:type="dxa" w:w="100"/>
              <w:left w:type="dxa" w:w="120"/>
              <w:bottom w:type="dxa" w:w="100"/>
              <w:right w:type="dxa" w:w="120"/>
            </w:tcMar>
          </w:tcPr>
          <w:p>
            <w:pPr>
              <w:spacing w:after="60"/>
            </w:pPr>
            <w:r>
              <w:rPr>
                <w:sz w:val="20"/>
                <w:szCs w:val="20"/>
              </w:rPr>
              <w:t xml:space="preserve">PRA-B: EU pathway</w:t>
            </w:r>
          </w:p>
        </w:tc>
        <w:tc>
          <w:tcPr>
            <w:tcW w:type="dxa" w:w="3400"/>
            <w:shd w:fill="FFFCF7" w:val="clear"/>
            <w:tcMar>
              <w:top w:type="dxa" w:w="100"/>
              <w:left w:type="dxa" w:w="120"/>
              <w:bottom w:type="dxa" w:w="100"/>
              <w:right w:type="dxa" w:w="120"/>
            </w:tcMar>
          </w:tcPr>
          <w:p>
            <w:pPr>
              <w:spacing w:after="60"/>
            </w:pPr>
            <w:r>
              <w:rPr>
                <w:sz w:val="20"/>
                <w:szCs w:val="20"/>
              </w:rPr>
              <w:t xml:space="preserve">InC-OW-EU and EU legal framework</w:t>
            </w:r>
          </w:p>
        </w:tc>
        <w:tc>
          <w:tcPr>
            <w:tcW w:type="dxa" w:w="4380"/>
            <w:shd w:fill="FFFCF7" w:val="clear"/>
            <w:tcMar>
              <w:top w:type="dxa" w:w="100"/>
              <w:left w:type="dxa" w:w="120"/>
              <w:bottom w:type="dxa" w:w="100"/>
              <w:right w:type="dxa" w:w="120"/>
            </w:tcMar>
          </w:tcPr>
          <w:p>
            <w:pPr>
              <w:spacing w:after="60"/>
            </w:pPr>
            <w:r>
              <w:rPr>
                <w:sz w:val="20"/>
                <w:szCs w:val="20"/>
              </w:rPr>
              <w:t xml:space="preserve">Restricted to applicable EU conditions and eligible institutions; not exportable as a universal permission</w:t>
            </w:r>
          </w:p>
        </w:tc>
      </w:tr>
      <w:tr>
        <w:tc>
          <w:tcPr>
            <w:tcW w:type="dxa" w:w="2300"/>
            <w:shd w:fill="FFFCF7" w:val="clear"/>
            <w:tcMar>
              <w:top w:type="dxa" w:w="100"/>
              <w:left w:type="dxa" w:w="120"/>
              <w:bottom w:type="dxa" w:w="100"/>
              <w:right w:type="dxa" w:w="120"/>
            </w:tcMar>
          </w:tcPr>
          <w:p>
            <w:pPr>
              <w:spacing w:after="60"/>
            </w:pPr>
            <w:r>
              <w:rPr>
                <w:sz w:val="20"/>
                <w:szCs w:val="20"/>
              </w:rPr>
              <w:t xml:space="preserve">PD-V</w:t>
            </w:r>
          </w:p>
        </w:tc>
        <w:tc>
          <w:tcPr>
            <w:tcW w:type="dxa" w:w="3400"/>
            <w:shd w:fill="FFFCF7" w:val="clear"/>
            <w:tcMar>
              <w:top w:type="dxa" w:w="100"/>
              <w:left w:type="dxa" w:w="120"/>
              <w:bottom w:type="dxa" w:w="100"/>
              <w:right w:type="dxa" w:w="120"/>
            </w:tcMar>
          </w:tcPr>
          <w:p>
            <w:pPr>
              <w:spacing w:after="60"/>
            </w:pPr>
            <w:r>
              <w:rPr>
                <w:sz w:val="20"/>
                <w:szCs w:val="20"/>
              </w:rPr>
              <w:t xml:space="preserve">Creative Commons Public Domain Mark; RightsStatements.org qualified public-domain statements</w:t>
            </w:r>
          </w:p>
        </w:tc>
        <w:tc>
          <w:tcPr>
            <w:tcW w:type="dxa" w:w="4380"/>
            <w:shd w:fill="FFFCF7" w:val="clear"/>
            <w:tcMar>
              <w:top w:type="dxa" w:w="100"/>
              <w:left w:type="dxa" w:w="120"/>
              <w:bottom w:type="dxa" w:w="100"/>
              <w:right w:type="dxa" w:w="120"/>
            </w:tcMar>
          </w:tcPr>
          <w:p>
            <w:pPr>
              <w:spacing w:after="60"/>
            </w:pPr>
            <w:r>
              <w:rPr>
                <w:sz w:val="20"/>
                <w:szCs w:val="20"/>
              </w:rPr>
              <w:t xml:space="preserve">PD-V must name territories and components; it is not equivalent to PDM or any RightsStatements.org code</w:t>
            </w:r>
          </w:p>
        </w:tc>
      </w:tr>
      <w:tr>
        <w:tc>
          <w:tcPr>
            <w:tcW w:type="dxa" w:w="2300"/>
            <w:shd w:fill="FFFCF7" w:val="clear"/>
            <w:tcMar>
              <w:top w:type="dxa" w:w="100"/>
              <w:left w:type="dxa" w:w="120"/>
              <w:bottom w:type="dxa" w:w="100"/>
              <w:right w:type="dxa" w:w="120"/>
            </w:tcMar>
          </w:tcPr>
          <w:p>
            <w:pPr>
              <w:spacing w:after="60"/>
            </w:pPr>
            <w:r>
              <w:rPr>
                <w:sz w:val="20"/>
                <w:szCs w:val="20"/>
              </w:rPr>
              <w:t xml:space="preserve">Status and event history</w:t>
            </w:r>
          </w:p>
        </w:tc>
        <w:tc>
          <w:tcPr>
            <w:tcW w:type="dxa" w:w="3400"/>
            <w:shd w:fill="FFFCF7" w:val="clear"/>
            <w:tcMar>
              <w:top w:type="dxa" w:w="100"/>
              <w:left w:type="dxa" w:w="120"/>
              <w:bottom w:type="dxa" w:w="100"/>
              <w:right w:type="dxa" w:w="120"/>
            </w:tcMar>
          </w:tcPr>
          <w:p>
            <w:pPr>
              <w:spacing w:after="60"/>
            </w:pPr>
            <w:r>
              <w:rPr>
                <w:sz w:val="20"/>
                <w:szCs w:val="20"/>
              </w:rPr>
              <w:t xml:space="preserve">HathiTrust Rights Database</w:t>
            </w:r>
          </w:p>
        </w:tc>
        <w:tc>
          <w:tcPr>
            <w:tcW w:type="dxa" w:w="4380"/>
            <w:shd w:fill="FFFCF7" w:val="clear"/>
            <w:tcMar>
              <w:top w:type="dxa" w:w="100"/>
              <w:left w:type="dxa" w:w="120"/>
              <w:bottom w:type="dxa" w:w="100"/>
              <w:right w:type="dxa" w:w="120"/>
            </w:tcMar>
          </w:tcPr>
          <w:p>
            <w:pPr>
              <w:spacing w:after="60"/>
            </w:pPr>
            <w:r>
              <w:rPr>
                <w:sz w:val="20"/>
                <w:szCs w:val="20"/>
              </w:rPr>
              <w:t xml:space="preserve">HathiTrust governs digital access in its system; it is an operational precedent, not a print-authorisation system</w:t>
            </w:r>
          </w:p>
        </w:tc>
      </w:tr>
      <w:tr>
        <w:tc>
          <w:tcPr>
            <w:tcW w:type="dxa" w:w="2300"/>
            <w:shd w:fill="FFFCF7" w:val="clear"/>
            <w:tcMar>
              <w:top w:type="dxa" w:w="100"/>
              <w:left w:type="dxa" w:w="120"/>
              <w:bottom w:type="dxa" w:w="100"/>
              <w:right w:type="dxa" w:w="120"/>
            </w:tcMar>
          </w:tcPr>
          <w:p>
            <w:pPr>
              <w:spacing w:after="60"/>
            </w:pPr>
            <w:r>
              <w:rPr>
                <w:sz w:val="20"/>
                <w:szCs w:val="20"/>
              </w:rPr>
              <w:t xml:space="preserve">Public transparency and opt-out</w:t>
            </w:r>
          </w:p>
        </w:tc>
        <w:tc>
          <w:tcPr>
            <w:tcW w:type="dxa" w:w="3400"/>
            <w:shd w:fill="FFFCF7" w:val="clear"/>
            <w:tcMar>
              <w:top w:type="dxa" w:w="100"/>
              <w:left w:type="dxa" w:w="120"/>
              <w:bottom w:type="dxa" w:w="100"/>
              <w:right w:type="dxa" w:w="120"/>
            </w:tcMar>
          </w:tcPr>
          <w:p>
            <w:pPr>
              <w:spacing w:after="60"/>
            </w:pPr>
            <w:r>
              <w:rPr>
                <w:sz w:val="20"/>
                <w:szCs w:val="20"/>
              </w:rPr>
              <w:t xml:space="preserve">EUIPO out-of-commerce works portal</w:t>
            </w:r>
          </w:p>
        </w:tc>
        <w:tc>
          <w:tcPr>
            <w:tcW w:type="dxa" w:w="4380"/>
            <w:shd w:fill="FFFCF7" w:val="clear"/>
            <w:tcMar>
              <w:top w:type="dxa" w:w="100"/>
              <w:left w:type="dxa" w:w="120"/>
              <w:bottom w:type="dxa" w:w="100"/>
              <w:right w:type="dxa" w:w="120"/>
            </w:tcMar>
          </w:tcPr>
          <w:p>
            <w:pPr>
              <w:spacing w:after="60"/>
            </w:pPr>
            <w:r>
              <w:rPr>
                <w:sz w:val="20"/>
                <w:szCs w:val="20"/>
              </w:rPr>
              <w:t xml:space="preserve">Its legal scope is defined by EU law; PRA's wider profiles would require separate national authority</w:t>
            </w:r>
          </w:p>
        </w:tc>
      </w:tr>
      <w:tr>
        <w:tc>
          <w:tcPr>
            <w:tcW w:type="dxa" w:w="2300"/>
            <w:shd w:fill="FFFCF7" w:val="clear"/>
            <w:tcMar>
              <w:top w:type="dxa" w:w="100"/>
              <w:left w:type="dxa" w:w="120"/>
              <w:bottom w:type="dxa" w:w="100"/>
              <w:right w:type="dxa" w:w="120"/>
            </w:tcMar>
          </w:tcPr>
          <w:p>
            <w:pPr>
              <w:spacing w:after="60"/>
            </w:pPr>
            <w:r>
              <w:rPr>
                <w:sz w:val="20"/>
                <w:szCs w:val="20"/>
              </w:rPr>
              <w:t xml:space="preserve">COMP-X</w:t>
            </w:r>
          </w:p>
        </w:tc>
        <w:tc>
          <w:tcPr>
            <w:tcW w:type="dxa" w:w="3400"/>
            <w:shd w:fill="FFFCF7" w:val="clear"/>
            <w:tcMar>
              <w:top w:type="dxa" w:w="100"/>
              <w:left w:type="dxa" w:w="120"/>
              <w:bottom w:type="dxa" w:w="100"/>
              <w:right w:type="dxa" w:w="120"/>
            </w:tcMar>
          </w:tcPr>
          <w:p>
            <w:pPr>
              <w:spacing w:after="60"/>
            </w:pPr>
            <w:r>
              <w:rPr>
                <w:sz w:val="20"/>
                <w:szCs w:val="20"/>
              </w:rPr>
              <w:t xml:space="preserve">No direct one-to-one equivalent</w:t>
            </w:r>
          </w:p>
        </w:tc>
        <w:tc>
          <w:tcPr>
            <w:tcW w:type="dxa" w:w="4380"/>
            <w:shd w:fill="FFFCF7" w:val="clear"/>
            <w:tcMar>
              <w:top w:type="dxa" w:w="100"/>
              <w:left w:type="dxa" w:w="120"/>
              <w:bottom w:type="dxa" w:w="100"/>
              <w:right w:type="dxa" w:w="120"/>
            </w:tcMar>
          </w:tcPr>
          <w:p>
            <w:pPr>
              <w:spacing w:after="60"/>
            </w:pPr>
            <w:r>
              <w:rPr>
                <w:sz w:val="20"/>
                <w:szCs w:val="20"/>
              </w:rPr>
              <w:t xml:space="preserve">A proposed physical attribution and provenance convention, not an independent rights-status code</w:t>
            </w:r>
          </w:p>
        </w:tc>
      </w:tr>
      <w:tr>
        <w:tc>
          <w:tcPr>
            <w:tcW w:type="dxa" w:w="2300"/>
            <w:shd w:fill="FFFCF7" w:val="clear"/>
            <w:tcMar>
              <w:top w:type="dxa" w:w="100"/>
              <w:left w:type="dxa" w:w="120"/>
              <w:bottom w:type="dxa" w:w="100"/>
              <w:right w:type="dxa" w:w="120"/>
            </w:tcMar>
          </w:tcPr>
          <w:p>
            <w:pPr>
              <w:spacing w:after="60"/>
            </w:pPr>
            <w:r>
              <w:rPr>
                <w:sz w:val="20"/>
                <w:szCs w:val="20"/>
              </w:rPr>
              <w:t xml:space="preserve">PRA-ID</w:t>
            </w:r>
          </w:p>
        </w:tc>
        <w:tc>
          <w:tcPr>
            <w:tcW w:type="dxa" w:w="3400"/>
            <w:shd w:fill="FFFCF7" w:val="clear"/>
            <w:tcMar>
              <w:top w:type="dxa" w:w="100"/>
              <w:left w:type="dxa" w:w="120"/>
              <w:bottom w:type="dxa" w:w="100"/>
              <w:right w:type="dxa" w:w="120"/>
            </w:tcMar>
          </w:tcPr>
          <w:p>
            <w:pPr>
              <w:spacing w:after="60"/>
            </w:pPr>
            <w:r>
              <w:rPr>
                <w:sz w:val="20"/>
                <w:szCs w:val="20"/>
              </w:rPr>
              <w:t xml:space="preserve">Persistent URI patterns such as RightsStatements.org, DOI, ARK, or Handle</w:t>
            </w:r>
          </w:p>
        </w:tc>
        <w:tc>
          <w:tcPr>
            <w:tcW w:type="dxa" w:w="4380"/>
            <w:shd w:fill="FFFCF7" w:val="clear"/>
            <w:tcMar>
              <w:top w:type="dxa" w:w="100"/>
              <w:left w:type="dxa" w:w="120"/>
              <w:bottom w:type="dxa" w:w="100"/>
              <w:right w:type="dxa" w:w="120"/>
            </w:tcMar>
          </w:tcPr>
          <w:p>
            <w:pPr>
              <w:spacing w:after="60"/>
            </w:pPr>
            <w:r>
              <w:rPr>
                <w:sz w:val="20"/>
                <w:szCs w:val="20"/>
              </w:rPr>
              <w:t xml:space="preserve">Must be persistent, resolvable, and independently verifiable; it does not replace ISBN, ISNI, CMO, or national identifiers</w:t>
            </w:r>
          </w:p>
        </w:tc>
      </w:tr>
    </w:tbl>
    <w:p>
      <w:pPr>
        <w:pStyle w:val="Heading1"/>
        <w:spacing w:after="200" w:before="400"/>
      </w:pPr>
      <w:r>
        <w:t xml:space="preserve">Part III: Evidence, governance and challenge</w:t>
      </w:r>
    </w:p>
    <w:p>
      <w:pPr>
        <w:pStyle w:val="Heading2"/>
        <w:spacing w:after="150" w:before="300"/>
      </w:pPr>
      <w:r>
        <w:t xml:space="preserve">8. Canonical evidence fields</w:t>
      </w:r>
    </w:p>
    <w:p>
      <w:pPr>
        <w:spacing w:after="160"/>
      </w:pPr>
      <w:r>
        <w:t xml:space="preserve">PRA does not use one universal linear ranking in which a court decision, licence, rights-holder declaration, and independent review are treated as interchangeable. Each record exposes separate evidence-source, review-status, authority-status, and challenge-status fields.</w:t>
      </w:r>
    </w:p>
    <w:p>
      <w:pPr>
        <w:spacing w:after="160"/>
      </w:pPr>
      <w:r>
        <w:rPr>
          <w:b/>
          <w:bCs/>
        </w:rPr>
        <w:t xml:space="preserve">Evidence source identifies what supports the claim:</w:t>
      </w:r>
    </w:p>
    <w:p>
      <w:pPr>
        <w:pStyle w:val="ListParagraph"/>
        <w:numPr>
          <w:ilvl w:val="0"/>
          <w:numId w:val="1"/>
        </w:numPr>
        <w:spacing w:after="80"/>
      </w:pPr>
      <w:r>
        <w:t xml:space="preserve">Rights-holder declaration.</w:t>
      </w:r>
    </w:p>
    <w:p>
      <w:pPr>
        <w:pStyle w:val="ListParagraph"/>
        <w:numPr>
          <w:ilvl w:val="0"/>
          <w:numId w:val="1"/>
        </w:numPr>
        <w:spacing w:after="80"/>
      </w:pPr>
      <w:r>
        <w:t xml:space="preserve">Publisher or institutional declaration.</w:t>
      </w:r>
    </w:p>
    <w:p>
      <w:pPr>
        <w:pStyle w:val="ListParagraph"/>
        <w:numPr>
          <w:ilvl w:val="0"/>
          <w:numId w:val="1"/>
        </w:numPr>
        <w:spacing w:after="80"/>
      </w:pPr>
      <w:r>
        <w:t xml:space="preserve">Documented diligent-search file.</w:t>
      </w:r>
    </w:p>
    <w:p>
      <w:pPr>
        <w:pStyle w:val="ListParagraph"/>
        <w:numPr>
          <w:ilvl w:val="0"/>
          <w:numId w:val="1"/>
        </w:numPr>
        <w:spacing w:after="80"/>
      </w:pPr>
      <w:r>
        <w:t xml:space="preserve">Government or statutory record.</w:t>
      </w:r>
    </w:p>
    <w:p>
      <w:pPr>
        <w:pStyle w:val="ListParagraph"/>
        <w:numPr>
          <w:ilvl w:val="0"/>
          <w:numId w:val="1"/>
        </w:numPr>
        <w:spacing w:after="80"/>
      </w:pPr>
      <w:r>
        <w:t xml:space="preserve">Court or administrative decision.</w:t>
      </w:r>
    </w:p>
    <w:p>
      <w:pPr>
        <w:pStyle w:val="ListParagraph"/>
        <w:numPr>
          <w:ilvl w:val="0"/>
          <w:numId w:val="1"/>
        </w:numPr>
        <w:spacing w:after="80"/>
      </w:pPr>
      <w:r>
        <w:t xml:space="preserve">Licence, deed, or written permission.</w:t>
      </w:r>
    </w:p>
    <w:p>
      <w:pPr>
        <w:pStyle w:val="ListParagraph"/>
        <w:numPr>
          <w:ilvl w:val="0"/>
          <w:numId w:val="1"/>
        </w:numPr>
        <w:spacing w:after="80"/>
      </w:pPr>
      <w:r>
        <w:t xml:space="preserve">Independent third-party review.</w:t>
      </w:r>
    </w:p>
    <w:p>
      <w:pPr>
        <w:pStyle w:val="ListParagraph"/>
        <w:numPr>
          <w:ilvl w:val="0"/>
          <w:numId w:val="1"/>
        </w:numPr>
        <w:spacing w:after="80"/>
      </w:pPr>
      <w:r>
        <w:t xml:space="preserve">Other identified source.</w:t>
      </w:r>
    </w:p>
    <w:p>
      <w:pPr>
        <w:spacing w:after="160"/>
      </w:pPr>
      <w:r>
        <w:rPr>
          <w:b/>
          <w:bCs/>
        </w:rPr>
        <w:t xml:space="preserve">Review status identifies who examined the record:</w:t>
      </w:r>
    </w:p>
    <w:p>
      <w:pPr>
        <w:pStyle w:val="ListParagraph"/>
        <w:numPr>
          <w:ilvl w:val="0"/>
          <w:numId w:val="1"/>
        </w:numPr>
        <w:spacing w:after="80"/>
      </w:pPr>
      <w:r>
        <w:t xml:space="preserve">Self-declared.</w:t>
      </w:r>
    </w:p>
    <w:p>
      <w:pPr>
        <w:pStyle w:val="ListParagraph"/>
        <w:numPr>
          <w:ilvl w:val="0"/>
          <w:numId w:val="1"/>
        </w:numPr>
        <w:spacing w:after="80"/>
      </w:pPr>
      <w:r>
        <w:t xml:space="preserve">Institutionally reviewed.</w:t>
      </w:r>
    </w:p>
    <w:p>
      <w:pPr>
        <w:pStyle w:val="ListParagraph"/>
        <w:numPr>
          <w:ilvl w:val="0"/>
          <w:numId w:val="1"/>
        </w:numPr>
        <w:spacing w:after="80"/>
      </w:pPr>
      <w:r>
        <w:t xml:space="preserve">Independently reviewed.</w:t>
      </w:r>
    </w:p>
    <w:p>
      <w:pPr>
        <w:pStyle w:val="ListParagraph"/>
        <w:numPr>
          <w:ilvl w:val="0"/>
          <w:numId w:val="1"/>
        </w:numPr>
        <w:spacing w:after="80"/>
      </w:pPr>
      <w:r>
        <w:t xml:space="preserve">Authority-reviewed, where a named authority has performed or adopted the review.</w:t>
      </w:r>
    </w:p>
    <w:p>
      <w:pPr>
        <w:spacing w:after="160"/>
      </w:pPr>
      <w:r>
        <w:rPr>
          <w:b/>
          <w:bCs/>
        </w:rPr>
        <w:t xml:space="preserve">Authority status identifies the relationship to an official body:</w:t>
      </w:r>
    </w:p>
    <w:p>
      <w:pPr>
        <w:pStyle w:val="ListParagraph"/>
        <w:numPr>
          <w:ilvl w:val="0"/>
          <w:numId w:val="1"/>
        </w:numPr>
        <w:spacing w:after="80"/>
      </w:pPr>
      <w:r>
        <w:t xml:space="preserve">No authority claimed.</w:t>
      </w:r>
    </w:p>
    <w:p>
      <w:pPr>
        <w:pStyle w:val="ListParagraph"/>
        <w:numPr>
          <w:ilvl w:val="0"/>
          <w:numId w:val="1"/>
        </w:numPr>
        <w:spacing w:after="80"/>
      </w:pPr>
      <w:r>
        <w:t xml:space="preserve">Linked to an institutional record.</w:t>
      </w:r>
    </w:p>
    <w:p>
      <w:pPr>
        <w:pStyle w:val="ListParagraph"/>
        <w:numPr>
          <w:ilvl w:val="0"/>
          <w:numId w:val="1"/>
        </w:numPr>
        <w:spacing w:after="80"/>
      </w:pPr>
      <w:r>
        <w:t xml:space="preserve">Authority-recorded.</w:t>
      </w:r>
    </w:p>
    <w:p>
      <w:pPr>
        <w:pStyle w:val="ListParagraph"/>
        <w:numPr>
          <w:ilvl w:val="0"/>
          <w:numId w:val="1"/>
        </w:numPr>
        <w:spacing w:after="80"/>
      </w:pPr>
      <w:r>
        <w:t xml:space="preserve">Authority-issued, where the authority itself issued the underlying decision or licence.</w:t>
      </w:r>
    </w:p>
    <w:p>
      <w:pPr>
        <w:spacing w:after="160"/>
      </w:pPr>
      <w:r>
        <w:rPr>
          <w:b/>
          <w:bCs/>
        </w:rPr>
        <w:t xml:space="preserve">Challenge status identifies dispute position:</w:t>
      </w:r>
    </w:p>
    <w:p>
      <w:pPr>
        <w:pStyle w:val="ListParagraph"/>
        <w:numPr>
          <w:ilvl w:val="0"/>
          <w:numId w:val="1"/>
        </w:numPr>
        <w:spacing w:after="80"/>
      </w:pPr>
      <w:r>
        <w:t xml:space="preserve">Unchallenged.</w:t>
      </w:r>
    </w:p>
    <w:p>
      <w:pPr>
        <w:pStyle w:val="ListParagraph"/>
        <w:numPr>
          <w:ilvl w:val="0"/>
          <w:numId w:val="1"/>
        </w:numPr>
        <w:spacing w:after="80"/>
      </w:pPr>
      <w:r>
        <w:t xml:space="preserve">Challenged.</w:t>
      </w:r>
    </w:p>
    <w:p>
      <w:pPr>
        <w:pStyle w:val="ListParagraph"/>
        <w:numPr>
          <w:ilvl w:val="0"/>
          <w:numId w:val="1"/>
        </w:numPr>
        <w:spacing w:after="80"/>
      </w:pPr>
      <w:r>
        <w:t xml:space="preserve">Under review.</w:t>
      </w:r>
    </w:p>
    <w:p>
      <w:pPr>
        <w:pStyle w:val="ListParagraph"/>
        <w:numPr>
          <w:ilvl w:val="0"/>
          <w:numId w:val="1"/>
        </w:numPr>
        <w:spacing w:after="80"/>
      </w:pPr>
      <w:r>
        <w:t xml:space="preserve">Suspended.</w:t>
      </w:r>
    </w:p>
    <w:p>
      <w:pPr>
        <w:pStyle w:val="ListParagraph"/>
        <w:numPr>
          <w:ilvl w:val="0"/>
          <w:numId w:val="1"/>
        </w:numPr>
        <w:spacing w:after="80"/>
      </w:pPr>
      <w:r>
        <w:t xml:space="preserve">Resolved.</w:t>
      </w:r>
    </w:p>
    <w:p>
      <w:pPr>
        <w:pStyle w:val="ListParagraph"/>
        <w:numPr>
          <w:ilvl w:val="0"/>
          <w:numId w:val="1"/>
        </w:numPr>
        <w:spacing w:after="80"/>
      </w:pPr>
      <w:r>
        <w:t xml:space="preserve">Invalidated.</w:t>
      </w:r>
    </w:p>
    <w:p>
      <w:pPr>
        <w:spacing w:after="160"/>
      </w:pPr>
      <w:r>
        <w:t xml:space="preserve">These fields are not collapsed into a universal ranking. A simplified public display may group records for readability, but the resolver preserves the underlying fields. A positive PD-V mark requires a documented search file or an equivalent public-domain assessment that identifies the applicable legal rule, territories, components, assessor, sources checked, evidence, and unresolved issues. A bare declaration is insufficient.</w:t>
      </w:r>
    </w:p>
    <w:p>
      <w:pPr>
        <w:pStyle w:val="Heading2"/>
        <w:spacing w:after="150" w:before="300"/>
      </w:pPr>
      <w:r>
        <w:t xml:space="preserve">9. Governance model</w:t>
      </w:r>
    </w:p>
    <w:p>
      <w:pPr>
        <w:spacing w:after="160"/>
      </w:pPr>
      <w:r>
        <w:t xml:space="preserve">A resolver without trusted governance is only a polished claim page. PRA's governance answers the following questions directly: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rPr>
          <w:tblHeader/>
        </w:trPr>
        <w:tc>
          <w:tcPr>
            <w:tcW w:type="dxa" w:w="3200"/>
            <w:shd w:fill="1B365D" w:val="clear"/>
            <w:tcMar>
              <w:top w:type="dxa" w:w="100"/>
              <w:left w:type="dxa" w:w="120"/>
              <w:bottom w:type="dxa" w:w="100"/>
              <w:right w:type="dxa" w:w="120"/>
            </w:tcMar>
          </w:tcPr>
          <w:p>
            <w:r>
              <w:rPr>
                <w:b/>
                <w:bCs/>
                <w:color w:val="FFFFFF"/>
                <w:sz w:val="20"/>
                <w:szCs w:val="20"/>
              </w:rPr>
              <w:t xml:space="preserve">Question</w:t>
            </w:r>
          </w:p>
        </w:tc>
        <w:tc>
          <w:tcPr>
            <w:tcW w:type="dxa" w:w="6880"/>
            <w:shd w:fill="1B365D" w:val="clear"/>
            <w:tcMar>
              <w:top w:type="dxa" w:w="100"/>
              <w:left w:type="dxa" w:w="120"/>
              <w:bottom w:type="dxa" w:w="100"/>
              <w:right w:type="dxa" w:w="120"/>
            </w:tcMar>
          </w:tcPr>
          <w:p>
            <w:r>
              <w:rPr>
                <w:b/>
                <w:bCs/>
                <w:color w:val="FFFFFF"/>
                <w:sz w:val="20"/>
                <w:szCs w:val="20"/>
              </w:rPr>
              <w:t xml:space="preserve">PRA position</w:t>
            </w:r>
          </w:p>
        </w:tc>
      </w:tr>
      <w:tr>
        <w:tc>
          <w:tcPr>
            <w:tcW w:type="dxa" w:w="3200"/>
            <w:shd w:fill="FFFCF7" w:val="clear"/>
            <w:tcMar>
              <w:top w:type="dxa" w:w="100"/>
              <w:left w:type="dxa" w:w="120"/>
              <w:bottom w:type="dxa" w:w="100"/>
              <w:right w:type="dxa" w:w="120"/>
            </w:tcMar>
          </w:tcPr>
          <w:p>
            <w:pPr>
              <w:spacing w:after="60"/>
            </w:pPr>
            <w:r>
              <w:rPr>
                <w:sz w:val="20"/>
                <w:szCs w:val="20"/>
              </w:rPr>
              <w:t xml:space="preserve">Who may create a record?</w:t>
            </w:r>
          </w:p>
        </w:tc>
        <w:tc>
          <w:tcPr>
            <w:tcW w:type="dxa" w:w="6880"/>
            <w:shd w:fill="FFFCF7" w:val="clear"/>
            <w:tcMar>
              <w:top w:type="dxa" w:w="100"/>
              <w:left w:type="dxa" w:w="120"/>
              <w:bottom w:type="dxa" w:w="100"/>
              <w:right w:type="dxa" w:w="120"/>
            </w:tcMar>
          </w:tcPr>
          <w:p>
            <w:pPr>
              <w:spacing w:after="60"/>
            </w:pPr>
            <w:r>
              <w:rPr>
                <w:sz w:val="20"/>
                <w:szCs w:val="20"/>
              </w:rPr>
              <w:t xml:space="preserve">Any conforming node under published conformance rules. Record creation is open; certification is not.</w:t>
            </w:r>
          </w:p>
        </w:tc>
      </w:tr>
      <w:tr>
        <w:tc>
          <w:tcPr>
            <w:tcW w:type="dxa" w:w="3200"/>
            <w:shd w:fill="FFFCF7" w:val="clear"/>
            <w:tcMar>
              <w:top w:type="dxa" w:w="100"/>
              <w:left w:type="dxa" w:w="120"/>
              <w:bottom w:type="dxa" w:w="100"/>
              <w:right w:type="dxa" w:w="120"/>
            </w:tcMar>
          </w:tcPr>
          <w:p>
            <w:pPr>
              <w:spacing w:after="60"/>
            </w:pPr>
            <w:r>
              <w:rPr>
                <w:sz w:val="20"/>
                <w:szCs w:val="20"/>
              </w:rPr>
              <w:t xml:space="preserve">Who may correct or challenge?</w:t>
            </w:r>
          </w:p>
        </w:tc>
        <w:tc>
          <w:tcPr>
            <w:tcW w:type="dxa" w:w="6880"/>
            <w:shd w:fill="FFFCF7" w:val="clear"/>
            <w:tcMar>
              <w:top w:type="dxa" w:w="100"/>
              <w:left w:type="dxa" w:w="120"/>
              <w:bottom w:type="dxa" w:w="100"/>
              <w:right w:type="dxa" w:w="120"/>
            </w:tcMar>
          </w:tcPr>
          <w:p>
            <w:pPr>
              <w:spacing w:after="60"/>
            </w:pPr>
            <w:r>
              <w:rPr>
                <w:sz w:val="20"/>
                <w:szCs w:val="20"/>
              </w:rPr>
              <w:t xml:space="preserve">Any party with standing, including a named rights holder, national authority, or documented interested party, through a published procedure.</w:t>
            </w:r>
          </w:p>
        </w:tc>
      </w:tr>
      <w:tr>
        <w:tc>
          <w:tcPr>
            <w:tcW w:type="dxa" w:w="3200"/>
            <w:shd w:fill="FFFCF7" w:val="clear"/>
            <w:tcMar>
              <w:top w:type="dxa" w:w="100"/>
              <w:left w:type="dxa" w:w="120"/>
              <w:bottom w:type="dxa" w:w="100"/>
              <w:right w:type="dxa" w:w="120"/>
            </w:tcMar>
          </w:tcPr>
          <w:p>
            <w:pPr>
              <w:spacing w:after="60"/>
            </w:pPr>
            <w:r>
              <w:rPr>
                <w:sz w:val="20"/>
                <w:szCs w:val="20"/>
              </w:rPr>
              <w:t xml:space="preserve">Can a record be deleted?</w:t>
            </w:r>
          </w:p>
        </w:tc>
        <w:tc>
          <w:tcPr>
            <w:tcW w:type="dxa" w:w="6880"/>
            <w:shd w:fill="FFFCF7" w:val="clear"/>
            <w:tcMar>
              <w:top w:type="dxa" w:w="100"/>
              <w:left w:type="dxa" w:w="120"/>
              <w:bottom w:type="dxa" w:w="100"/>
              <w:right w:type="dxa" w:w="120"/>
            </w:tcMar>
          </w:tcPr>
          <w:p>
            <w:pPr>
              <w:spacing w:after="60"/>
            </w:pPr>
            <w:r>
              <w:rPr>
                <w:sz w:val="20"/>
                <w:szCs w:val="20"/>
              </w:rPr>
              <w:t xml:space="preserve">No. History is preserved; corrections occur through status events.</w:t>
            </w:r>
          </w:p>
        </w:tc>
      </w:tr>
      <w:tr>
        <w:tc>
          <w:tcPr>
            <w:tcW w:type="dxa" w:w="3200"/>
            <w:shd w:fill="FFFCF7" w:val="clear"/>
            <w:tcMar>
              <w:top w:type="dxa" w:w="100"/>
              <w:left w:type="dxa" w:w="120"/>
              <w:bottom w:type="dxa" w:w="100"/>
              <w:right w:type="dxa" w:w="120"/>
            </w:tcMar>
          </w:tcPr>
          <w:p>
            <w:pPr>
              <w:spacing w:after="60"/>
            </w:pPr>
            <w:r>
              <w:rPr>
                <w:sz w:val="20"/>
                <w:szCs w:val="20"/>
              </w:rPr>
              <w:t xml:space="preserve">Can one node invalidate another node?</w:t>
            </w:r>
          </w:p>
        </w:tc>
        <w:tc>
          <w:tcPr>
            <w:tcW w:type="dxa" w:w="6880"/>
            <w:shd w:fill="FFFCF7" w:val="clear"/>
            <w:tcMar>
              <w:top w:type="dxa" w:w="100"/>
              <w:left w:type="dxa" w:w="120"/>
              <w:bottom w:type="dxa" w:w="100"/>
              <w:right w:type="dxa" w:w="120"/>
            </w:tcMar>
          </w:tcPr>
          <w:p>
            <w:pPr>
              <w:spacing w:after="60"/>
            </w:pPr>
            <w:r>
              <w:rPr>
                <w:sz w:val="20"/>
                <w:szCs w:val="20"/>
              </w:rPr>
              <w:t xml:space="preserve">No single node is authoritative over another. Conflicting records are displayed with their evidence and authority fields.</w:t>
            </w:r>
          </w:p>
        </w:tc>
      </w:tr>
      <w:tr>
        <w:tc>
          <w:tcPr>
            <w:tcW w:type="dxa" w:w="3200"/>
            <w:shd w:fill="FFFCF7" w:val="clear"/>
            <w:tcMar>
              <w:top w:type="dxa" w:w="100"/>
              <w:left w:type="dxa" w:w="120"/>
              <w:bottom w:type="dxa" w:w="100"/>
              <w:right w:type="dxa" w:w="120"/>
            </w:tcMar>
          </w:tcPr>
          <w:p>
            <w:pPr>
              <w:spacing w:after="60"/>
            </w:pPr>
            <w:r>
              <w:rPr>
                <w:sz w:val="20"/>
                <w:szCs w:val="20"/>
              </w:rPr>
              <w:t xml:space="preserve">What if a node disappears?</w:t>
            </w:r>
          </w:p>
        </w:tc>
        <w:tc>
          <w:tcPr>
            <w:tcW w:type="dxa" w:w="6880"/>
            <w:shd w:fill="FFFCF7" w:val="clear"/>
            <w:tcMar>
              <w:top w:type="dxa" w:w="100"/>
              <w:left w:type="dxa" w:w="120"/>
              <w:bottom w:type="dxa" w:w="100"/>
              <w:right w:type="dxa" w:w="120"/>
            </w:tcMar>
          </w:tcPr>
          <w:p>
            <w:pPr>
              <w:spacing w:after="60"/>
            </w:pPr>
            <w:r>
              <w:rPr>
                <w:sz w:val="20"/>
                <w:szCs w:val="20"/>
              </w:rPr>
              <w:t xml:space="preserve">The specification and record format are open; mirrors and exports should preserve recoverability.</w:t>
            </w:r>
          </w:p>
        </w:tc>
      </w:tr>
      <w:tr>
        <w:tc>
          <w:tcPr>
            <w:tcW w:type="dxa" w:w="3200"/>
            <w:shd w:fill="FFFCF7" w:val="clear"/>
            <w:tcMar>
              <w:top w:type="dxa" w:w="100"/>
              <w:left w:type="dxa" w:w="120"/>
              <w:bottom w:type="dxa" w:w="100"/>
              <w:right w:type="dxa" w:w="120"/>
            </w:tcMar>
          </w:tcPr>
          <w:p>
            <w:pPr>
              <w:spacing w:after="60"/>
            </w:pPr>
            <w:r>
              <w:rPr>
                <w:sz w:val="20"/>
                <w:szCs w:val="20"/>
              </w:rPr>
              <w:t xml:space="preserve">Does recording certify correctness?</w:t>
            </w:r>
          </w:p>
        </w:tc>
        <w:tc>
          <w:tcPr>
            <w:tcW w:type="dxa" w:w="6880"/>
            <w:shd w:fill="FFFCF7" w:val="clear"/>
            <w:tcMar>
              <w:top w:type="dxa" w:w="100"/>
              <w:left w:type="dxa" w:w="120"/>
              <w:bottom w:type="dxa" w:w="100"/>
              <w:right w:type="dxa" w:w="120"/>
            </w:tcMar>
          </w:tcPr>
          <w:p>
            <w:pPr>
              <w:spacing w:after="60"/>
            </w:pPr>
            <w:r>
              <w:rPr>
                <w:sz w:val="20"/>
                <w:szCs w:val="20"/>
              </w:rPr>
              <w:t xml:space="preserve">No. Recording and certifying are separate acts.</w:t>
            </w:r>
          </w:p>
        </w:tc>
      </w:tr>
      <w:tr>
        <w:tc>
          <w:tcPr>
            <w:tcW w:type="dxa" w:w="3200"/>
            <w:shd w:fill="FFFCF7" w:val="clear"/>
            <w:tcMar>
              <w:top w:type="dxa" w:w="100"/>
              <w:left w:type="dxa" w:w="120"/>
              <w:bottom w:type="dxa" w:w="100"/>
              <w:right w:type="dxa" w:w="120"/>
            </w:tcMar>
          </w:tcPr>
          <w:p>
            <w:pPr>
              <w:spacing w:after="60"/>
            </w:pPr>
            <w:r>
              <w:rPr>
                <w:sz w:val="20"/>
                <w:szCs w:val="20"/>
              </w:rPr>
              <w:t xml:space="preserve">Does inclusion prove lawful reproduction?</w:t>
            </w:r>
          </w:p>
        </w:tc>
        <w:tc>
          <w:tcPr>
            <w:tcW w:type="dxa" w:w="6880"/>
            <w:shd w:fill="FFFCF7" w:val="clear"/>
            <w:tcMar>
              <w:top w:type="dxa" w:w="100"/>
              <w:left w:type="dxa" w:w="120"/>
              <w:bottom w:type="dxa" w:w="100"/>
              <w:right w:type="dxa" w:w="120"/>
            </w:tcMar>
          </w:tcPr>
          <w:p>
            <w:pPr>
              <w:spacing w:after="60"/>
            </w:pPr>
            <w:r>
              <w:rPr>
                <w:sz w:val="20"/>
                <w:szCs w:val="20"/>
              </w:rPr>
              <w:t xml:space="preserve">No. It proves only that a claim, with stated fields and status, has been recorded and made inspectable.</w:t>
            </w:r>
          </w:p>
        </w:tc>
      </w:tr>
    </w:tbl>
    <w:p>
      <w:pPr>
        <w:spacing w:after="160"/>
      </w:pPr>
      <w:r>
        <w:t xml:space="preserve">Linseed may operate a reference node, but it is not the exclusive registry, licensing authority, payment holder, or standards monopoly. The design uses multiple nodes, no exclusivity, public challenge, and dependence on actual national law rather than a settlement-created permission.</w:t>
      </w:r>
    </w:p>
    <w:p>
      <w:pPr>
        <w:pStyle w:val="Heading2"/>
        <w:spacing w:after="150" w:before="300"/>
      </w:pPr>
      <w:r>
        <w:t xml:space="preserve">9a. Implementation conformance and record authority</w:t>
      </w:r>
    </w:p>
    <w:p>
      <w:pPr>
        <w:spacing w:after="160"/>
      </w:pPr>
      <w:r>
        <w:t xml:space="preserve">Implementation conformance and record authority are separate dimensions. Do not use “Official PRA,” “PRA-certified,” “PRA-approved,” or “PRA-cleared” without a genuine, named certification process and published criteria.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rPr>
          <w:tblHeader/>
        </w:trPr>
        <w:tc>
          <w:tcPr>
            <w:tcW w:type="dxa" w:w="3200"/>
            <w:shd w:fill="1B365D" w:val="clear"/>
            <w:tcMar>
              <w:top w:type="dxa" w:w="100"/>
              <w:left w:type="dxa" w:w="120"/>
              <w:bottom w:type="dxa" w:w="100"/>
              <w:right w:type="dxa" w:w="120"/>
            </w:tcMar>
          </w:tcPr>
          <w:p>
            <w:r>
              <w:rPr>
                <w:b/>
                <w:bCs/>
                <w:color w:val="FFFFFF"/>
                <w:sz w:val="20"/>
                <w:szCs w:val="20"/>
              </w:rPr>
              <w:t xml:space="preserve">Implementation conformance</w:t>
            </w:r>
          </w:p>
        </w:tc>
        <w:tc>
          <w:tcPr>
            <w:tcW w:type="dxa" w:w="6880"/>
            <w:shd w:fill="1B365D" w:val="clear"/>
            <w:tcMar>
              <w:top w:type="dxa" w:w="100"/>
              <w:left w:type="dxa" w:w="120"/>
              <w:bottom w:type="dxa" w:w="100"/>
              <w:right w:type="dxa" w:w="120"/>
            </w:tcMar>
          </w:tcPr>
          <w:p>
            <w:r>
              <w:rPr>
                <w:b/>
                <w:bCs/>
                <w:color w:val="FFFFFF"/>
                <w:sz w:val="20"/>
                <w:szCs w:val="20"/>
              </w:rPr>
              <w:t xml:space="preserve">Meaning</w:t>
            </w:r>
          </w:p>
        </w:tc>
      </w:tr>
      <w:tr>
        <w:tc>
          <w:tcPr>
            <w:tcW w:type="dxa" w:w="3200"/>
            <w:shd w:fill="FFFCF7" w:val="clear"/>
            <w:tcMar>
              <w:top w:type="dxa" w:w="100"/>
              <w:left w:type="dxa" w:w="120"/>
              <w:bottom w:type="dxa" w:w="100"/>
              <w:right w:type="dxa" w:w="120"/>
            </w:tcMar>
          </w:tcPr>
          <w:p>
            <w:pPr>
              <w:spacing w:after="60"/>
            </w:pPr>
            <w:r>
              <w:rPr>
                <w:sz w:val="20"/>
                <w:szCs w:val="20"/>
              </w:rPr>
              <w:t xml:space="preserve">PRA-compatible</w:t>
            </w:r>
          </w:p>
        </w:tc>
        <w:tc>
          <w:tcPr>
            <w:tcW w:type="dxa" w:w="6880"/>
            <w:shd w:fill="FFFCF7" w:val="clear"/>
            <w:tcMar>
              <w:top w:type="dxa" w:w="100"/>
              <w:left w:type="dxa" w:w="120"/>
              <w:bottom w:type="dxa" w:w="100"/>
              <w:right w:type="dxa" w:w="120"/>
            </w:tcMar>
          </w:tcPr>
          <w:p>
            <w:pPr>
              <w:spacing w:after="60"/>
            </w:pPr>
            <w:r>
              <w:rPr>
                <w:sz w:val="20"/>
                <w:szCs w:val="20"/>
              </w:rPr>
              <w:t xml:space="preserve">Uses one or more PRA concepts without meeting the full specification</w:t>
            </w:r>
          </w:p>
        </w:tc>
      </w:tr>
      <w:tr>
        <w:tc>
          <w:tcPr>
            <w:tcW w:type="dxa" w:w="3200"/>
            <w:shd w:fill="FFFCF7" w:val="clear"/>
            <w:tcMar>
              <w:top w:type="dxa" w:w="100"/>
              <w:left w:type="dxa" w:w="120"/>
              <w:bottom w:type="dxa" w:w="100"/>
              <w:right w:type="dxa" w:w="120"/>
            </w:tcMar>
          </w:tcPr>
          <w:p>
            <w:pPr>
              <w:spacing w:after="60"/>
            </w:pPr>
            <w:r>
              <w:rPr>
                <w:sz w:val="20"/>
                <w:szCs w:val="20"/>
              </w:rPr>
              <w:t xml:space="preserve">PRA-conformant</w:t>
            </w:r>
          </w:p>
        </w:tc>
        <w:tc>
          <w:tcPr>
            <w:tcW w:type="dxa" w:w="6880"/>
            <w:shd w:fill="FFFCF7" w:val="clear"/>
            <w:tcMar>
              <w:top w:type="dxa" w:w="100"/>
              <w:left w:type="dxa" w:w="120"/>
              <w:bottom w:type="dxa" w:w="100"/>
              <w:right w:type="dxa" w:w="120"/>
            </w:tcMar>
          </w:tcPr>
          <w:p>
            <w:pPr>
              <w:spacing w:after="60"/>
            </w:pPr>
            <w:r>
              <w:rPr>
                <w:sz w:val="20"/>
                <w:szCs w:val="20"/>
              </w:rPr>
              <w:t xml:space="preserve">Meets the published minimum fields, identifier rules, human- and machine-readable representations, status-history, correction, and challenge requirements</w:t>
            </w:r>
          </w:p>
        </w:tc>
      </w:tr>
      <w:tr>
        <w:tc>
          <w:tcPr>
            <w:tcW w:type="dxa" w:w="3200"/>
            <w:shd w:fill="FFFCF7" w:val="clear"/>
            <w:tcMar>
              <w:top w:type="dxa" w:w="100"/>
              <w:left w:type="dxa" w:w="120"/>
              <w:bottom w:type="dxa" w:w="100"/>
              <w:right w:type="dxa" w:w="120"/>
            </w:tcMar>
          </w:tcPr>
          <w:p>
            <w:pPr>
              <w:spacing w:after="60"/>
            </w:pPr>
            <w:r>
              <w:rPr>
                <w:sz w:val="20"/>
                <w:szCs w:val="20"/>
              </w:rPr>
              <w:t xml:space="preserve">PRA-reviewed</w:t>
            </w:r>
          </w:p>
        </w:tc>
        <w:tc>
          <w:tcPr>
            <w:tcW w:type="dxa" w:w="6880"/>
            <w:shd w:fill="FFFCF7" w:val="clear"/>
            <w:tcMar>
              <w:top w:type="dxa" w:w="100"/>
              <w:left w:type="dxa" w:w="120"/>
              <w:bottom w:type="dxa" w:w="100"/>
              <w:right w:type="dxa" w:w="120"/>
            </w:tcMar>
          </w:tcPr>
          <w:p>
            <w:pPr>
              <w:spacing w:after="60"/>
            </w:pPr>
            <w:r>
              <w:rPr>
                <w:sz w:val="20"/>
                <w:szCs w:val="20"/>
              </w:rPr>
              <w:t xml:space="preserve">Independently assessed against the specification by a named reviewer or institution</w:t>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rPr>
          <w:tblHeader/>
        </w:trPr>
        <w:tc>
          <w:tcPr>
            <w:tcW w:type="dxa" w:w="3200"/>
            <w:shd w:fill="1B365D" w:val="clear"/>
            <w:tcMar>
              <w:top w:type="dxa" w:w="100"/>
              <w:left w:type="dxa" w:w="120"/>
              <w:bottom w:type="dxa" w:w="100"/>
              <w:right w:type="dxa" w:w="120"/>
            </w:tcMar>
          </w:tcPr>
          <w:p>
            <w:r>
              <w:rPr>
                <w:b/>
                <w:bCs/>
                <w:color w:val="FFFFFF"/>
                <w:sz w:val="20"/>
                <w:szCs w:val="20"/>
              </w:rPr>
              <w:t xml:space="preserve">Record authority status</w:t>
            </w:r>
          </w:p>
        </w:tc>
        <w:tc>
          <w:tcPr>
            <w:tcW w:type="dxa" w:w="6880"/>
            <w:shd w:fill="1B365D" w:val="clear"/>
            <w:tcMar>
              <w:top w:type="dxa" w:w="100"/>
              <w:left w:type="dxa" w:w="120"/>
              <w:bottom w:type="dxa" w:w="100"/>
              <w:right w:type="dxa" w:w="120"/>
            </w:tcMar>
          </w:tcPr>
          <w:p>
            <w:r>
              <w:rPr>
                <w:b/>
                <w:bCs/>
                <w:color w:val="FFFFFF"/>
                <w:sz w:val="20"/>
                <w:szCs w:val="20"/>
              </w:rPr>
              <w:t xml:space="preserve">Meaning</w:t>
            </w:r>
          </w:p>
        </w:tc>
      </w:tr>
      <w:tr>
        <w:tc>
          <w:tcPr>
            <w:tcW w:type="dxa" w:w="3200"/>
            <w:shd w:fill="FFFCF7" w:val="clear"/>
            <w:tcMar>
              <w:top w:type="dxa" w:w="100"/>
              <w:left w:type="dxa" w:w="120"/>
              <w:bottom w:type="dxa" w:w="100"/>
              <w:right w:type="dxa" w:w="120"/>
            </w:tcMar>
          </w:tcPr>
          <w:p>
            <w:pPr>
              <w:spacing w:after="60"/>
            </w:pPr>
            <w:r>
              <w:rPr>
                <w:sz w:val="20"/>
                <w:szCs w:val="20"/>
              </w:rPr>
              <w:t xml:space="preserve">Self-declared</w:t>
            </w:r>
          </w:p>
        </w:tc>
        <w:tc>
          <w:tcPr>
            <w:tcW w:type="dxa" w:w="6880"/>
            <w:shd w:fill="FFFCF7" w:val="clear"/>
            <w:tcMar>
              <w:top w:type="dxa" w:w="100"/>
              <w:left w:type="dxa" w:w="120"/>
              <w:bottom w:type="dxa" w:w="100"/>
              <w:right w:type="dxa" w:w="120"/>
            </w:tcMar>
          </w:tcPr>
          <w:p>
            <w:pPr>
              <w:spacing w:after="60"/>
            </w:pPr>
            <w:r>
              <w:rPr>
                <w:sz w:val="20"/>
                <w:szCs w:val="20"/>
              </w:rPr>
              <w:t xml:space="preserve">Published by the recording party without independent institutional review</w:t>
            </w:r>
          </w:p>
        </w:tc>
      </w:tr>
      <w:tr>
        <w:tc>
          <w:tcPr>
            <w:tcW w:type="dxa" w:w="3200"/>
            <w:shd w:fill="FFFCF7" w:val="clear"/>
            <w:tcMar>
              <w:top w:type="dxa" w:w="100"/>
              <w:left w:type="dxa" w:w="120"/>
              <w:bottom w:type="dxa" w:w="100"/>
              <w:right w:type="dxa" w:w="120"/>
            </w:tcMar>
          </w:tcPr>
          <w:p>
            <w:pPr>
              <w:spacing w:after="60"/>
            </w:pPr>
            <w:r>
              <w:rPr>
                <w:sz w:val="20"/>
                <w:szCs w:val="20"/>
              </w:rPr>
              <w:t xml:space="preserve">Institutionally reviewed</w:t>
            </w:r>
          </w:p>
        </w:tc>
        <w:tc>
          <w:tcPr>
            <w:tcW w:type="dxa" w:w="6880"/>
            <w:shd w:fill="FFFCF7" w:val="clear"/>
            <w:tcMar>
              <w:top w:type="dxa" w:w="100"/>
              <w:left w:type="dxa" w:w="120"/>
              <w:bottom w:type="dxa" w:w="100"/>
              <w:right w:type="dxa" w:w="120"/>
            </w:tcMar>
          </w:tcPr>
          <w:p>
            <w:pPr>
              <w:spacing w:after="60"/>
            </w:pPr>
            <w:r>
              <w:rPr>
                <w:sz w:val="20"/>
                <w:szCs w:val="20"/>
              </w:rPr>
              <w:t xml:space="preserve">Reviewed by a named institution</w:t>
            </w:r>
          </w:p>
        </w:tc>
      </w:tr>
      <w:tr>
        <w:tc>
          <w:tcPr>
            <w:tcW w:type="dxa" w:w="3200"/>
            <w:shd w:fill="FFFCF7" w:val="clear"/>
            <w:tcMar>
              <w:top w:type="dxa" w:w="100"/>
              <w:left w:type="dxa" w:w="120"/>
              <w:bottom w:type="dxa" w:w="100"/>
              <w:right w:type="dxa" w:w="120"/>
            </w:tcMar>
          </w:tcPr>
          <w:p>
            <w:pPr>
              <w:spacing w:after="60"/>
            </w:pPr>
            <w:r>
              <w:rPr>
                <w:sz w:val="20"/>
                <w:szCs w:val="20"/>
              </w:rPr>
              <w:t xml:space="preserve">Authority-recorded</w:t>
            </w:r>
          </w:p>
        </w:tc>
        <w:tc>
          <w:tcPr>
            <w:tcW w:type="dxa" w:w="6880"/>
            <w:shd w:fill="FFFCF7" w:val="clear"/>
            <w:tcMar>
              <w:top w:type="dxa" w:w="100"/>
              <w:left w:type="dxa" w:w="120"/>
              <w:bottom w:type="dxa" w:w="100"/>
              <w:right w:type="dxa" w:w="120"/>
            </w:tcMar>
          </w:tcPr>
          <w:p>
            <w:pPr>
              <w:spacing w:after="60"/>
            </w:pPr>
            <w:r>
              <w:rPr>
                <w:sz w:val="20"/>
                <w:szCs w:val="20"/>
              </w:rPr>
              <w:t xml:space="preserve">Linked to a government, court, statutory body, or other identified official record</w:t>
            </w:r>
          </w:p>
        </w:tc>
      </w:tr>
      <w:tr>
        <w:tc>
          <w:tcPr>
            <w:tcW w:type="dxa" w:w="3200"/>
            <w:shd w:fill="FFFCF7" w:val="clear"/>
            <w:tcMar>
              <w:top w:type="dxa" w:w="100"/>
              <w:left w:type="dxa" w:w="120"/>
              <w:bottom w:type="dxa" w:w="100"/>
              <w:right w:type="dxa" w:w="120"/>
            </w:tcMar>
          </w:tcPr>
          <w:p>
            <w:pPr>
              <w:spacing w:after="60"/>
            </w:pPr>
            <w:r>
              <w:rPr>
                <w:sz w:val="20"/>
                <w:szCs w:val="20"/>
              </w:rPr>
              <w:t xml:space="preserve">Authority-issued</w:t>
            </w:r>
          </w:p>
        </w:tc>
        <w:tc>
          <w:tcPr>
            <w:tcW w:type="dxa" w:w="6880"/>
            <w:shd w:fill="FFFCF7" w:val="clear"/>
            <w:tcMar>
              <w:top w:type="dxa" w:w="100"/>
              <w:left w:type="dxa" w:w="120"/>
              <w:bottom w:type="dxa" w:w="100"/>
              <w:right w:type="dxa" w:w="120"/>
            </w:tcMar>
          </w:tcPr>
          <w:p>
            <w:pPr>
              <w:spacing w:after="60"/>
            </w:pPr>
            <w:r>
              <w:rPr>
                <w:sz w:val="20"/>
                <w:szCs w:val="20"/>
              </w:rPr>
              <w:t xml:space="preserve">The named authority itself issued the underlying licence or decision</w:t>
            </w:r>
          </w:p>
        </w:tc>
      </w:tr>
    </w:tbl>
    <w:p>
      <w:pPr>
        <w:pStyle w:val="Heading2"/>
        <w:spacing w:after="150" w:before="300"/>
      </w:pPr>
      <w:r>
        <w:t xml:space="preserve">10. Commercial profile: mandatory resolver fields</w:t>
      </w:r>
    </w:p>
    <w:p>
      <w:pPr>
        <w:spacing w:after="160"/>
      </w:pPr>
      <w:r>
        <w:t xml:space="preserve">A PRA-C record must expose jurisdiction, legal authority, covered components, permitted acts, territory, duration, commercial scope, attribution requirements, moral-rights treatment, revocation or withdrawal process, evidence of diligence or consent, and the responsible recording node. There is no PRA-C under Source B without a named legal basis and any tariff or reporting terms required by national law. Payment routing is an optional implementation module unless the underlying law or deed requires remuneration.</w:t>
      </w:r>
    </w:p>
    <w:p>
      <w:pPr>
        <w:pStyle w:val="Heading1"/>
        <w:spacing w:after="200" w:before="400"/>
      </w:pPr>
      <w:r>
        <w:t xml:space="preserve">Part IV: Physical layer and pilot</w:t>
      </w:r>
    </w:p>
    <w:p>
      <w:pPr>
        <w:pStyle w:val="Heading2"/>
        <w:spacing w:after="150" w:before="300"/>
      </w:pPr>
      <w:r>
        <w:t xml:space="preserve">11. Two-layer verso and resolver model</w:t>
      </w:r>
    </w:p>
    <w:p>
      <w:pPr>
        <w:spacing w:after="160"/>
      </w:pPr>
      <w:r>
        <w:t xml:space="preserve">Printed layer: short status; covered components; territory; source type; stable text PRA-ID, optionally accompanied by a QR code; and a plain-language non-licence disclaimer.</w:t>
      </w:r>
    </w:p>
    <w:p>
      <w:pPr>
        <w:spacing w:after="160"/>
      </w:pPr>
      <w:r>
        <w:t xml:space="preserve">Resolver layer: full evidence and source fields; dates; search record; legal basis and documents; review and authority status; corrections and challenges; current state; full event log; challenge route; and mirror or archive references.</w:t>
      </w:r>
    </w:p>
    <w:p>
      <w:pPr>
        <w:spacing w:after="160"/>
      </w:pPr>
      <w:r>
        <w:t xml:space="preserve">The resolver should work without JavaScript where reasonably possible, provide accessible text, and show current status directly. A QR code must never be the only identifier.</w:t>
      </w:r>
    </w:p>
    <w:p>
      <w:pPr>
        <w:spacing w:after="160"/>
      </w:pPr>
      <w:r>
        <w:t xml:space="preserve">Suggested short-form verso text: “This edition uses the proposed Printing Right Attribution protocol. PRA-ID [text string] identifies the recorded rights information and does not, by itself, create permission to reproduce or distribute the work.”</w:t>
      </w:r>
    </w:p>
    <w:p>
      <w:pPr>
        <w:spacing w:after="160"/>
      </w:pPr>
      <w:r>
        <w:t xml:space="preserve">No-permission form: “Rights information recorded for provenance only. No PRA permission is claimed for commercial reproduction. See PRA-ID [identifier] for status, evidence, and limitations.”</w:t>
      </w:r>
    </w:p>
    <w:p>
      <w:pPr>
        <w:pStyle w:val="Heading2"/>
        <w:spacing w:after="150" w:before="300"/>
      </w:pPr>
      <w:r>
        <w:t xml:space="preserve">12. Record states and event history</w:t>
      </w:r>
    </w:p>
    <w:p>
      <w:pPr>
        <w:spacing w:after="160"/>
      </w:pPr>
      <w:r>
        <w:t xml:space="preserve">Revocation is an event, not deletion. A rights-holder return, appearance of an authorised edition, expiry, administrative error, fraud, or misuse is represented through a named event and a resulting state. A record's current state is separate from its historical events.</w:t>
      </w:r>
    </w:p>
    <w:p>
      <w:pPr>
        <w:spacing w:after="160"/>
      </w:pPr>
      <w:r>
        <w:t xml:space="preserve">Event types include Created, Amended, Corrected, Challenged, Reviewed, Suspended, Reactivated, Revoked, Ratified, Superseded, Replaced, Withdrawn, Expired, and Invalidated. “Amended” records a change; “Reactivated” records a transition back to Active. Neither is a permanent current state.</w:t>
      </w:r>
    </w:p>
    <w:p>
      <w:pPr>
        <w:spacing w:after="160"/>
      </w:pPr>
      <w:r>
        <w:t xml:space="preserve">A mark may be presented as currently operative only while the resolver shows Active. A non-Active state does not erase the historical claim; it means the mark must not be presented as currently operative.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7480"/>
      </w:tblGrid>
      <w:tr>
        <w:trPr>
          <w:tblHeader/>
        </w:trPr>
        <w:tc>
          <w:tcPr>
            <w:tcW w:type="dxa" w:w="2600"/>
            <w:shd w:fill="1B365D" w:val="clear"/>
            <w:tcMar>
              <w:top w:type="dxa" w:w="100"/>
              <w:left w:type="dxa" w:w="120"/>
              <w:bottom w:type="dxa" w:w="100"/>
              <w:right w:type="dxa" w:w="120"/>
            </w:tcMar>
          </w:tcPr>
          <w:p>
            <w:r>
              <w:rPr>
                <w:b/>
                <w:bCs/>
                <w:color w:val="FFFFFF"/>
                <w:sz w:val="20"/>
                <w:szCs w:val="20"/>
              </w:rPr>
              <w:t xml:space="preserve">Canonical current state</w:t>
            </w:r>
          </w:p>
        </w:tc>
        <w:tc>
          <w:tcPr>
            <w:tcW w:type="dxa" w:w="7480"/>
            <w:shd w:fill="1B365D" w:val="clear"/>
            <w:tcMar>
              <w:top w:type="dxa" w:w="100"/>
              <w:left w:type="dxa" w:w="120"/>
              <w:bottom w:type="dxa" w:w="100"/>
              <w:right w:type="dxa" w:w="120"/>
            </w:tcMar>
          </w:tcPr>
          <w:p>
            <w:r>
              <w:rPr>
                <w:b/>
                <w:bCs/>
                <w:color w:val="FFFFFF"/>
                <w:sz w:val="20"/>
                <w:szCs w:val="20"/>
              </w:rPr>
              <w:t xml:space="preserve">Meaning</w:t>
            </w:r>
          </w:p>
        </w:tc>
      </w:tr>
      <w:tr>
        <w:tc>
          <w:tcPr>
            <w:tcW w:type="dxa" w:w="2600"/>
            <w:shd w:fill="FFFCF7" w:val="clear"/>
            <w:tcMar>
              <w:top w:type="dxa" w:w="100"/>
              <w:left w:type="dxa" w:w="120"/>
              <w:bottom w:type="dxa" w:w="100"/>
              <w:right w:type="dxa" w:w="120"/>
            </w:tcMar>
          </w:tcPr>
          <w:p>
            <w:pPr>
              <w:spacing w:after="60"/>
            </w:pPr>
            <w:r>
              <w:rPr>
                <w:sz w:val="20"/>
                <w:szCs w:val="20"/>
              </w:rPr>
              <w:t xml:space="preserve">Draft</w:t>
            </w:r>
          </w:p>
        </w:tc>
        <w:tc>
          <w:tcPr>
            <w:tcW w:type="dxa" w:w="7480"/>
            <w:shd w:fill="FFFCF7" w:val="clear"/>
            <w:tcMar>
              <w:top w:type="dxa" w:w="100"/>
              <w:left w:type="dxa" w:w="120"/>
              <w:bottom w:type="dxa" w:w="100"/>
              <w:right w:type="dxa" w:w="120"/>
            </w:tcMar>
          </w:tcPr>
          <w:p>
            <w:pPr>
              <w:spacing w:after="60"/>
            </w:pPr>
            <w:r>
              <w:rPr>
                <w:sz w:val="20"/>
                <w:szCs w:val="20"/>
              </w:rPr>
              <w:t xml:space="preserve">Record started; not yet public</w:t>
            </w:r>
          </w:p>
        </w:tc>
      </w:tr>
      <w:tr>
        <w:tc>
          <w:tcPr>
            <w:tcW w:type="dxa" w:w="2600"/>
            <w:shd w:fill="FFFCF7" w:val="clear"/>
            <w:tcMar>
              <w:top w:type="dxa" w:w="100"/>
              <w:left w:type="dxa" w:w="120"/>
              <w:bottom w:type="dxa" w:w="100"/>
              <w:right w:type="dxa" w:w="120"/>
            </w:tcMar>
          </w:tcPr>
          <w:p>
            <w:pPr>
              <w:spacing w:after="60"/>
            </w:pPr>
            <w:r>
              <w:rPr>
                <w:sz w:val="20"/>
                <w:szCs w:val="20"/>
              </w:rPr>
              <w:t xml:space="preserve">Active</w:t>
            </w:r>
          </w:p>
        </w:tc>
        <w:tc>
          <w:tcPr>
            <w:tcW w:type="dxa" w:w="7480"/>
            <w:shd w:fill="FFFCF7" w:val="clear"/>
            <w:tcMar>
              <w:top w:type="dxa" w:w="100"/>
              <w:left w:type="dxa" w:w="120"/>
              <w:bottom w:type="dxa" w:w="100"/>
              <w:right w:type="dxa" w:w="120"/>
            </w:tcMar>
          </w:tcPr>
          <w:p>
            <w:pPr>
              <w:spacing w:after="60"/>
            </w:pPr>
            <w:r>
              <w:rPr>
                <w:sz w:val="20"/>
                <w:szCs w:val="20"/>
              </w:rPr>
              <w:t xml:space="preserve">Current record satisfies applicable requirements</w:t>
            </w:r>
          </w:p>
        </w:tc>
      </w:tr>
      <w:tr>
        <w:tc>
          <w:tcPr>
            <w:tcW w:type="dxa" w:w="2600"/>
            <w:shd w:fill="FFFCF7" w:val="clear"/>
            <w:tcMar>
              <w:top w:type="dxa" w:w="100"/>
              <w:left w:type="dxa" w:w="120"/>
              <w:bottom w:type="dxa" w:w="100"/>
              <w:right w:type="dxa" w:w="120"/>
            </w:tcMar>
          </w:tcPr>
          <w:p>
            <w:pPr>
              <w:spacing w:after="60"/>
            </w:pPr>
            <w:r>
              <w:rPr>
                <w:sz w:val="20"/>
                <w:szCs w:val="20"/>
              </w:rPr>
              <w:t xml:space="preserve">Under review</w:t>
            </w:r>
          </w:p>
        </w:tc>
        <w:tc>
          <w:tcPr>
            <w:tcW w:type="dxa" w:w="7480"/>
            <w:shd w:fill="FFFCF7" w:val="clear"/>
            <w:tcMar>
              <w:top w:type="dxa" w:w="100"/>
              <w:left w:type="dxa" w:w="120"/>
              <w:bottom w:type="dxa" w:w="100"/>
              <w:right w:type="dxa" w:w="120"/>
            </w:tcMar>
          </w:tcPr>
          <w:p>
            <w:pPr>
              <w:spacing w:after="60"/>
            </w:pPr>
            <w:r>
              <w:rPr>
                <w:sz w:val="20"/>
                <w:szCs w:val="20"/>
              </w:rPr>
              <w:t xml:space="preserve">Correction or update is being assessed</w:t>
            </w:r>
          </w:p>
        </w:tc>
      </w:tr>
      <w:tr>
        <w:tc>
          <w:tcPr>
            <w:tcW w:type="dxa" w:w="2600"/>
            <w:shd w:fill="FFFCF7" w:val="clear"/>
            <w:tcMar>
              <w:top w:type="dxa" w:w="100"/>
              <w:left w:type="dxa" w:w="120"/>
              <w:bottom w:type="dxa" w:w="100"/>
              <w:right w:type="dxa" w:w="120"/>
            </w:tcMar>
          </w:tcPr>
          <w:p>
            <w:pPr>
              <w:spacing w:after="60"/>
            </w:pPr>
            <w:r>
              <w:rPr>
                <w:sz w:val="20"/>
                <w:szCs w:val="20"/>
              </w:rPr>
              <w:t xml:space="preserve">Challenged</w:t>
            </w:r>
          </w:p>
        </w:tc>
        <w:tc>
          <w:tcPr>
            <w:tcW w:type="dxa" w:w="7480"/>
            <w:shd w:fill="FFFCF7" w:val="clear"/>
            <w:tcMar>
              <w:top w:type="dxa" w:w="100"/>
              <w:left w:type="dxa" w:w="120"/>
              <w:bottom w:type="dxa" w:w="100"/>
              <w:right w:type="dxa" w:w="120"/>
            </w:tcMar>
          </w:tcPr>
          <w:p>
            <w:pPr>
              <w:spacing w:after="60"/>
            </w:pPr>
            <w:r>
              <w:rPr>
                <w:sz w:val="20"/>
                <w:szCs w:val="20"/>
              </w:rPr>
              <w:t xml:space="preserve">A party disputes the record; the claim and challenge are shown</w:t>
            </w:r>
          </w:p>
        </w:tc>
      </w:tr>
      <w:tr>
        <w:tc>
          <w:tcPr>
            <w:tcW w:type="dxa" w:w="2600"/>
            <w:shd w:fill="FFFCF7" w:val="clear"/>
            <w:tcMar>
              <w:top w:type="dxa" w:w="100"/>
              <w:left w:type="dxa" w:w="120"/>
              <w:bottom w:type="dxa" w:w="100"/>
              <w:right w:type="dxa" w:w="120"/>
            </w:tcMar>
          </w:tcPr>
          <w:p>
            <w:pPr>
              <w:spacing w:after="60"/>
            </w:pPr>
            <w:r>
              <w:rPr>
                <w:sz w:val="20"/>
                <w:szCs w:val="20"/>
              </w:rPr>
              <w:t xml:space="preserve">Suspended</w:t>
            </w:r>
          </w:p>
        </w:tc>
        <w:tc>
          <w:tcPr>
            <w:tcW w:type="dxa" w:w="7480"/>
            <w:shd w:fill="FFFCF7" w:val="clear"/>
            <w:tcMar>
              <w:top w:type="dxa" w:w="100"/>
              <w:left w:type="dxa" w:w="120"/>
              <w:bottom w:type="dxa" w:w="100"/>
              <w:right w:type="dxa" w:w="120"/>
            </w:tcMar>
          </w:tcPr>
          <w:p>
            <w:pPr>
              <w:spacing w:after="60"/>
            </w:pPr>
            <w:r>
              <w:rPr>
                <w:sz w:val="20"/>
                <w:szCs w:val="20"/>
              </w:rPr>
              <w:t xml:space="preserve">Reliance is paused pending resolution</w:t>
            </w:r>
          </w:p>
        </w:tc>
      </w:tr>
      <w:tr>
        <w:tc>
          <w:tcPr>
            <w:tcW w:type="dxa" w:w="2600"/>
            <w:shd w:fill="FFFCF7" w:val="clear"/>
            <w:tcMar>
              <w:top w:type="dxa" w:w="100"/>
              <w:left w:type="dxa" w:w="120"/>
              <w:bottom w:type="dxa" w:w="100"/>
              <w:right w:type="dxa" w:w="120"/>
            </w:tcMar>
          </w:tcPr>
          <w:p>
            <w:pPr>
              <w:spacing w:after="60"/>
            </w:pPr>
            <w:r>
              <w:rPr>
                <w:sz w:val="20"/>
                <w:szCs w:val="20"/>
              </w:rPr>
              <w:t xml:space="preserve">Wind-down</w:t>
            </w:r>
          </w:p>
        </w:tc>
        <w:tc>
          <w:tcPr>
            <w:tcW w:type="dxa" w:w="7480"/>
            <w:shd w:fill="FFFCF7" w:val="clear"/>
            <w:tcMar>
              <w:top w:type="dxa" w:w="100"/>
              <w:left w:type="dxa" w:w="120"/>
              <w:bottom w:type="dxa" w:w="100"/>
              <w:right w:type="dxa" w:w="120"/>
            </w:tcMar>
          </w:tcPr>
          <w:p>
            <w:pPr>
              <w:spacing w:after="60"/>
            </w:pPr>
            <w:r>
              <w:rPr>
                <w:sz w:val="20"/>
                <w:szCs w:val="20"/>
              </w:rPr>
              <w:t xml:space="preserve">A defined sell-through or transition period may apply</w:t>
            </w:r>
          </w:p>
        </w:tc>
      </w:tr>
      <w:tr>
        <w:tc>
          <w:tcPr>
            <w:tcW w:type="dxa" w:w="2600"/>
            <w:shd w:fill="FFFCF7" w:val="clear"/>
            <w:tcMar>
              <w:top w:type="dxa" w:w="100"/>
              <w:left w:type="dxa" w:w="120"/>
              <w:bottom w:type="dxa" w:w="100"/>
              <w:right w:type="dxa" w:w="120"/>
            </w:tcMar>
          </w:tcPr>
          <w:p>
            <w:pPr>
              <w:spacing w:after="60"/>
            </w:pPr>
            <w:r>
              <w:rPr>
                <w:sz w:val="20"/>
                <w:szCs w:val="20"/>
              </w:rPr>
              <w:t xml:space="preserve">Revoked</w:t>
            </w:r>
          </w:p>
        </w:tc>
        <w:tc>
          <w:tcPr>
            <w:tcW w:type="dxa" w:w="7480"/>
            <w:shd w:fill="FFFCF7" w:val="clear"/>
            <w:tcMar>
              <w:top w:type="dxa" w:w="100"/>
              <w:left w:type="dxa" w:w="120"/>
              <w:bottom w:type="dxa" w:w="100"/>
              <w:right w:type="dxa" w:w="120"/>
            </w:tcMar>
          </w:tcPr>
          <w:p>
            <w:pPr>
              <w:spacing w:after="60"/>
            </w:pPr>
            <w:r>
              <w:rPr>
                <w:sz w:val="20"/>
                <w:szCs w:val="20"/>
              </w:rPr>
              <w:t xml:space="preserve">Underlying basis withdrawn or found invalid</w:t>
            </w:r>
          </w:p>
        </w:tc>
      </w:tr>
      <w:tr>
        <w:tc>
          <w:tcPr>
            <w:tcW w:type="dxa" w:w="2600"/>
            <w:shd w:fill="FFFCF7" w:val="clear"/>
            <w:tcMar>
              <w:top w:type="dxa" w:w="100"/>
              <w:left w:type="dxa" w:w="120"/>
              <w:bottom w:type="dxa" w:w="100"/>
              <w:right w:type="dxa" w:w="120"/>
            </w:tcMar>
          </w:tcPr>
          <w:p>
            <w:pPr>
              <w:spacing w:after="60"/>
            </w:pPr>
            <w:r>
              <w:rPr>
                <w:sz w:val="20"/>
                <w:szCs w:val="20"/>
              </w:rPr>
              <w:t xml:space="preserve">Ratified</w:t>
            </w:r>
          </w:p>
        </w:tc>
        <w:tc>
          <w:tcPr>
            <w:tcW w:type="dxa" w:w="7480"/>
            <w:shd w:fill="FFFCF7" w:val="clear"/>
            <w:tcMar>
              <w:top w:type="dxa" w:w="100"/>
              <w:left w:type="dxa" w:w="120"/>
              <w:bottom w:type="dxa" w:w="100"/>
              <w:right w:type="dxa" w:w="120"/>
            </w:tcMar>
          </w:tcPr>
          <w:p>
            <w:pPr>
              <w:spacing w:after="60"/>
            </w:pPr>
            <w:r>
              <w:rPr>
                <w:sz w:val="20"/>
                <w:szCs w:val="20"/>
              </w:rPr>
              <w:t xml:space="preserve">A higher-tier authority confirmed the record under a defined process</w:t>
            </w:r>
          </w:p>
        </w:tc>
      </w:tr>
      <w:tr>
        <w:tc>
          <w:tcPr>
            <w:tcW w:type="dxa" w:w="2600"/>
            <w:shd w:fill="FFFCF7" w:val="clear"/>
            <w:tcMar>
              <w:top w:type="dxa" w:w="100"/>
              <w:left w:type="dxa" w:w="120"/>
              <w:bottom w:type="dxa" w:w="100"/>
              <w:right w:type="dxa" w:w="120"/>
            </w:tcMar>
          </w:tcPr>
          <w:p>
            <w:pPr>
              <w:spacing w:after="60"/>
            </w:pPr>
            <w:r>
              <w:rPr>
                <w:sz w:val="20"/>
                <w:szCs w:val="20"/>
              </w:rPr>
              <w:t xml:space="preserve">Superseded</w:t>
            </w:r>
          </w:p>
        </w:tc>
        <w:tc>
          <w:tcPr>
            <w:tcW w:type="dxa" w:w="7480"/>
            <w:shd w:fill="FFFCF7" w:val="clear"/>
            <w:tcMar>
              <w:top w:type="dxa" w:w="100"/>
              <w:left w:type="dxa" w:w="120"/>
              <w:bottom w:type="dxa" w:w="100"/>
              <w:right w:type="dxa" w:w="120"/>
            </w:tcMar>
          </w:tcPr>
          <w:p>
            <w:pPr>
              <w:spacing w:after="60"/>
            </w:pPr>
            <w:r>
              <w:rPr>
                <w:sz w:val="20"/>
                <w:szCs w:val="20"/>
              </w:rPr>
              <w:t xml:space="preserve">Replaced by a newer record for the same work</w:t>
            </w:r>
          </w:p>
        </w:tc>
      </w:tr>
      <w:tr>
        <w:tc>
          <w:tcPr>
            <w:tcW w:type="dxa" w:w="2600"/>
            <w:shd w:fill="FFFCF7" w:val="clear"/>
            <w:tcMar>
              <w:top w:type="dxa" w:w="100"/>
              <w:left w:type="dxa" w:w="120"/>
              <w:bottom w:type="dxa" w:w="100"/>
              <w:right w:type="dxa" w:w="120"/>
            </w:tcMar>
          </w:tcPr>
          <w:p>
            <w:pPr>
              <w:spacing w:after="60"/>
            </w:pPr>
            <w:r>
              <w:rPr>
                <w:sz w:val="20"/>
                <w:szCs w:val="20"/>
              </w:rPr>
              <w:t xml:space="preserve">Replaced</w:t>
            </w:r>
          </w:p>
        </w:tc>
        <w:tc>
          <w:tcPr>
            <w:tcW w:type="dxa" w:w="7480"/>
            <w:shd w:fill="FFFCF7" w:val="clear"/>
            <w:tcMar>
              <w:top w:type="dxa" w:w="100"/>
              <w:left w:type="dxa" w:w="120"/>
              <w:bottom w:type="dxa" w:w="100"/>
              <w:right w:type="dxa" w:w="120"/>
            </w:tcMar>
          </w:tcPr>
          <w:p>
            <w:pPr>
              <w:spacing w:after="60"/>
            </w:pPr>
            <w:r>
              <w:rPr>
                <w:sz w:val="20"/>
                <w:szCs w:val="20"/>
              </w:rPr>
              <w:t xml:space="preserve">Reissued as a different PRA-ID with a link between records</w:t>
            </w:r>
          </w:p>
        </w:tc>
      </w:tr>
      <w:tr>
        <w:tc>
          <w:tcPr>
            <w:tcW w:type="dxa" w:w="2600"/>
            <w:shd w:fill="FFFCF7" w:val="clear"/>
            <w:tcMar>
              <w:top w:type="dxa" w:w="100"/>
              <w:left w:type="dxa" w:w="120"/>
              <w:bottom w:type="dxa" w:w="100"/>
              <w:right w:type="dxa" w:w="120"/>
            </w:tcMar>
          </w:tcPr>
          <w:p>
            <w:pPr>
              <w:spacing w:after="60"/>
            </w:pPr>
            <w:r>
              <w:rPr>
                <w:sz w:val="20"/>
                <w:szCs w:val="20"/>
              </w:rPr>
              <w:t xml:space="preserve">Withdrawn</w:t>
            </w:r>
          </w:p>
        </w:tc>
        <w:tc>
          <w:tcPr>
            <w:tcW w:type="dxa" w:w="7480"/>
            <w:shd w:fill="FFFCF7" w:val="clear"/>
            <w:tcMar>
              <w:top w:type="dxa" w:w="100"/>
              <w:left w:type="dxa" w:w="120"/>
              <w:bottom w:type="dxa" w:w="100"/>
              <w:right w:type="dxa" w:w="120"/>
            </w:tcMar>
          </w:tcPr>
          <w:p>
            <w:pPr>
              <w:spacing w:after="60"/>
            </w:pPr>
            <w:r>
              <w:rPr>
                <w:sz w:val="20"/>
                <w:szCs w:val="20"/>
              </w:rPr>
              <w:t xml:space="preserve">Recording party removed the record; history remains</w:t>
            </w:r>
          </w:p>
        </w:tc>
      </w:tr>
      <w:tr>
        <w:tc>
          <w:tcPr>
            <w:tcW w:type="dxa" w:w="2600"/>
            <w:shd w:fill="FFFCF7" w:val="clear"/>
            <w:tcMar>
              <w:top w:type="dxa" w:w="100"/>
              <w:left w:type="dxa" w:w="120"/>
              <w:bottom w:type="dxa" w:w="100"/>
              <w:right w:type="dxa" w:w="120"/>
            </w:tcMar>
          </w:tcPr>
          <w:p>
            <w:pPr>
              <w:spacing w:after="60"/>
            </w:pPr>
            <w:r>
              <w:rPr>
                <w:sz w:val="20"/>
                <w:szCs w:val="20"/>
              </w:rPr>
              <w:t xml:space="preserve">Expired</w:t>
            </w:r>
          </w:p>
        </w:tc>
        <w:tc>
          <w:tcPr>
            <w:tcW w:type="dxa" w:w="7480"/>
            <w:shd w:fill="FFFCF7" w:val="clear"/>
            <w:tcMar>
              <w:top w:type="dxa" w:w="100"/>
              <w:left w:type="dxa" w:w="120"/>
              <w:bottom w:type="dxa" w:w="100"/>
              <w:right w:type="dxa" w:w="120"/>
            </w:tcMar>
          </w:tcPr>
          <w:p>
            <w:pPr>
              <w:spacing w:after="60"/>
            </w:pPr>
            <w:r>
              <w:rPr>
                <w:sz w:val="20"/>
                <w:szCs w:val="20"/>
              </w:rPr>
              <w:t xml:space="preserve">Stated term ended without renewal</w:t>
            </w:r>
          </w:p>
        </w:tc>
      </w:tr>
      <w:tr>
        <w:tc>
          <w:tcPr>
            <w:tcW w:type="dxa" w:w="2600"/>
            <w:shd w:fill="FFFCF7" w:val="clear"/>
            <w:tcMar>
              <w:top w:type="dxa" w:w="100"/>
              <w:left w:type="dxa" w:w="120"/>
              <w:bottom w:type="dxa" w:w="100"/>
              <w:right w:type="dxa" w:w="120"/>
            </w:tcMar>
          </w:tcPr>
          <w:p>
            <w:pPr>
              <w:spacing w:after="60"/>
            </w:pPr>
            <w:r>
              <w:rPr>
                <w:sz w:val="20"/>
                <w:szCs w:val="20"/>
              </w:rPr>
              <w:t xml:space="preserve">Invalidated</w:t>
            </w:r>
          </w:p>
        </w:tc>
        <w:tc>
          <w:tcPr>
            <w:tcW w:type="dxa" w:w="7480"/>
            <w:shd w:fill="FFFCF7" w:val="clear"/>
            <w:tcMar>
              <w:top w:type="dxa" w:w="100"/>
              <w:left w:type="dxa" w:w="120"/>
              <w:bottom w:type="dxa" w:w="100"/>
              <w:right w:type="dxa" w:w="120"/>
            </w:tcMar>
          </w:tcPr>
          <w:p>
            <w:pPr>
              <w:spacing w:after="60"/>
            </w:pPr>
            <w:r>
              <w:rPr>
                <w:sz w:val="20"/>
                <w:szCs w:val="20"/>
              </w:rPr>
              <w:t xml:space="preserve">Record found non-conformant or fraudulent</w:t>
            </w:r>
          </w:p>
        </w:tc>
      </w:tr>
    </w:tbl>
    <w:p>
      <w:pPr>
        <w:pStyle w:val="Heading2"/>
        <w:spacing w:after="150" w:before="300"/>
      </w:pPr>
      <w:r>
        <w:t xml:space="preserve">13. Payment and fiduciary controls</w:t>
      </w:r>
    </w:p>
    <w:p>
      <w:pPr>
        <w:spacing w:after="160"/>
      </w:pPr>
      <w:r>
        <w:t xml:space="preserve">PRA must not impose a global author/publisher split or fixed royalty percentage. National law determines whether remuneration is mandatory, who may collect, how unclaimed funds are treated, and how cross-border payments and withholding tax operate. Any payment module is optional unless the underlying deed, licence, or law requires it. A platform should not own or retain royalties merely because it hosts a record. A CMO may collect only within its mandate or statutory authority. Sensitive payment and identity data should not be placed on a public ledger.</w:t>
      </w:r>
    </w:p>
    <w:p>
      <w:pPr>
        <w:pStyle w:val="Heading2"/>
        <w:spacing w:after="150" w:before="300"/>
      </w:pPr>
      <w:r>
        <w:t xml:space="preserve">14. Incentive design and pilot</w:t>
      </w:r>
    </w:p>
    <w:p>
      <w:pPr>
        <w:spacing w:after="160"/>
      </w:pPr>
      <w:r>
        <w:t xml:space="preserve">Adoption must be tested with publishers, libraries, booksellers, printers, and rights organisations. The first pilot should avoid controversial living-author material and cover 50-100 titles in one country, including a straightforward public-domain text, a mixed volume with protected editorial matter, a work with documented permission, a non-authorising unresolved search, and a corrected or superseded record.</w:t>
      </w:r>
    </w:p>
    <w:p>
      <w:pPr>
        <w:spacing w:after="160"/>
      </w:pPr>
      <w:r>
        <w:t xml:space="preserve">The pilot should measure interpretation time, interpretation errors, repeated-search savings, component-identification accuracy, challenges and resolution time, stale-record rates, user trust, library procurement interest, and publisher willingness to create records. Users should be able to answer what is covered, where, under what basis, with what evidence, and how to object.</w:t>
      </w:r>
    </w:p>
    <w:p>
      <w:pPr>
        <w:pStyle w:val="Heading2"/>
        <w:spacing w:after="150" w:before="300"/>
      </w:pPr>
      <w:r>
        <w:t xml:space="preserve">15. Register and metadata</w:t>
      </w:r>
    </w:p>
    <w:p>
      <w:pPr>
        <w:spacing w:after="160"/>
      </w:pPr>
      <w:r>
        <w:t xml:space="preserve">The PRA-ID identifies a permission or status record. It does not replace ISBN, ISNI, CMO identifiers, national authority numbers, or work identifiers. PRA should investigate an application profile that reuses or cross-references relevant WIPO ST.96 and other established standards where technically appropriate. PRA would still need its own fields for search evidence, component treatment, permission profiles, status events, challenges, and optional payment instructions. This is not an endorsement by WIPO or a claim that ST.96 supplies the PRA workflow.</w:t>
      </w:r>
    </w:p>
    <w:p>
      <w:pPr>
        <w:pStyle w:val="Heading2"/>
        <w:spacing w:after="150" w:before="300"/>
      </w:pPr>
      <w:r>
        <w:t xml:space="preserve">16. Governance and pilot summary</w:t>
      </w:r>
    </w:p>
    <w:p>
      <w:pPr>
        <w:spacing w:after="160"/>
      </w:pPr>
      <w:r>
        <w:t xml:space="preserve">PRA should be governed by a neutral, non-exclusive steward or consortium. Publish the schema, deeds, and legal texts under transparent version control. Provide an open API, export format, and independent registry mirrors. Define conformance tests and correction, objection, appeal, and dispute-resolution procedures. Pilot 50-100 titles before commercial expansion and independently evaluate search cost, owner returns, objections, privacy, payment where applicable, and registry accuracy.</w:t>
      </w:r>
    </w:p>
    <w:p>
      <w:pPr>
        <w:pStyle w:val="Heading2"/>
        <w:spacing w:after="150" w:before="300"/>
      </w:pPr>
      <w:r>
        <w:t xml:space="preserve">Limitations</w:t>
      </w:r>
    </w:p>
    <w:p>
      <w:pPr>
        <w:spacing w:after="160"/>
      </w:pPr>
      <w:r>
        <w:rPr>
          <w:b/>
          <w:bCs/>
        </w:rPr>
        <w:t xml:space="preserve">This proposal does not establish a new international right, determine copyright status authoritatively, replace national law, guarantee the accuracy of a node's assertion, or make commercial reproduction lawful merely because a record exists. A public record may be incomplete, mistaken, challenged, or jurisdictionally limited.</w:t>
      </w:r>
    </w:p>
    <w:p>
      <w:pPr>
        <w:pStyle w:val="Heading1"/>
        <w:spacing w:after="200" w:before="400"/>
      </w:pPr>
      <w:r>
        <w:t xml:space="preserve">Part V: Technical architecture and future interoperability</w:t>
      </w:r>
    </w:p>
    <w:p>
      <w:pPr>
        <w:spacing w:after="160"/>
      </w:pPr>
      <w:r>
        <w:t xml:space="preserve">A protocol with many fields risks looking like bureaucratic classification rather than useful infrastructure. The test is whether each field answers a real user question. This Part separates core requirements from optional modules and allows future machine-verifiable or ledger-based implementations without making them prerequisites.</w:t>
      </w:r>
    </w:p>
    <w:p>
      <w:pPr>
        <w:pStyle w:val="Heading2"/>
        <w:spacing w:after="150" w:before="300"/>
      </w:pPr>
      <w:r>
        <w:t xml:space="preserve">17. Minimum viable record and optional modules</w:t>
      </w:r>
    </w:p>
    <w:p>
      <w:pPr>
        <w:spacing w:after="160"/>
      </w:pPr>
      <w:r>
        <w:t xml:space="preserve">A conforming PRA record requires: PRA-ID; work and edition; covered components; excluded components; territory; mark or basis; evidence source; review status; authority status; current record state; responsible recording node; resolver URL; challenge route; and status history. Optional modules include payment routing, WIPO ST.96 mapping, ledger anchoring, automated availability checking, machine-readable licence negotiation, cross-node conflict resolution, and privacy-preserving identity credentials.</w:t>
      </w:r>
    </w:p>
    <w:p>
      <w:pPr>
        <w:spacing w:after="160"/>
      </w:pPr>
      <w:r>
        <w:t xml:space="preserve">A field that does not change a real decision should be moved out of the core record.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rPr>
          <w:tblHeader/>
        </w:trPr>
        <w:tc>
          <w:tcPr>
            <w:tcW w:type="dxa" w:w="3200"/>
            <w:shd w:fill="1B365D" w:val="clear"/>
            <w:tcMar>
              <w:top w:type="dxa" w:w="100"/>
              <w:left w:type="dxa" w:w="120"/>
              <w:bottom w:type="dxa" w:w="100"/>
              <w:right w:type="dxa" w:w="120"/>
            </w:tcMar>
          </w:tcPr>
          <w:p>
            <w:r>
              <w:rPr>
                <w:b/>
                <w:bCs/>
                <w:color w:val="FFFFFF"/>
                <w:sz w:val="20"/>
                <w:szCs w:val="20"/>
              </w:rPr>
              <w:t xml:space="preserve">Field</w:t>
            </w:r>
          </w:p>
        </w:tc>
        <w:tc>
          <w:tcPr>
            <w:tcW w:type="dxa" w:w="6880"/>
            <w:shd w:fill="1B365D" w:val="clear"/>
            <w:tcMar>
              <w:top w:type="dxa" w:w="100"/>
              <w:left w:type="dxa" w:w="120"/>
              <w:bottom w:type="dxa" w:w="100"/>
              <w:right w:type="dxa" w:w="120"/>
            </w:tcMar>
          </w:tcPr>
          <w:p>
            <w:r>
              <w:rPr>
                <w:b/>
                <w:bCs/>
                <w:color w:val="FFFFFF"/>
                <w:sz w:val="20"/>
                <w:szCs w:val="20"/>
              </w:rPr>
              <w:t xml:space="preserve">Question answered</w:t>
            </w:r>
          </w:p>
        </w:tc>
      </w:tr>
      <w:tr>
        <w:tc>
          <w:tcPr>
            <w:tcW w:type="dxa" w:w="3200"/>
            <w:shd w:fill="FFFCF7" w:val="clear"/>
            <w:tcMar>
              <w:top w:type="dxa" w:w="100"/>
              <w:left w:type="dxa" w:w="120"/>
              <w:bottom w:type="dxa" w:w="100"/>
              <w:right w:type="dxa" w:w="120"/>
            </w:tcMar>
          </w:tcPr>
          <w:p>
            <w:pPr>
              <w:spacing w:after="60"/>
            </w:pPr>
            <w:r>
              <w:rPr>
                <w:sz w:val="20"/>
                <w:szCs w:val="20"/>
              </w:rPr>
              <w:t xml:space="preserve">Mark or basis</w:t>
            </w:r>
          </w:p>
        </w:tc>
        <w:tc>
          <w:tcPr>
            <w:tcW w:type="dxa" w:w="6880"/>
            <w:shd w:fill="FFFCF7" w:val="clear"/>
            <w:tcMar>
              <w:top w:type="dxa" w:w="100"/>
              <w:left w:type="dxa" w:w="120"/>
              <w:bottom w:type="dxa" w:w="100"/>
              <w:right w:type="dxa" w:w="120"/>
            </w:tcMar>
          </w:tcPr>
          <w:p>
            <w:pPr>
              <w:spacing w:after="60"/>
            </w:pPr>
            <w:r>
              <w:rPr>
                <w:sz w:val="20"/>
                <w:szCs w:val="20"/>
              </w:rPr>
              <w:t xml:space="preserve">What kind of statement is this?</w:t>
            </w:r>
          </w:p>
        </w:tc>
      </w:tr>
      <w:tr>
        <w:tc>
          <w:tcPr>
            <w:tcW w:type="dxa" w:w="3200"/>
            <w:shd w:fill="FFFCF7" w:val="clear"/>
            <w:tcMar>
              <w:top w:type="dxa" w:w="100"/>
              <w:left w:type="dxa" w:w="120"/>
              <w:bottom w:type="dxa" w:w="100"/>
              <w:right w:type="dxa" w:w="120"/>
            </w:tcMar>
          </w:tcPr>
          <w:p>
            <w:pPr>
              <w:spacing w:after="60"/>
            </w:pPr>
            <w:r>
              <w:rPr>
                <w:sz w:val="20"/>
                <w:szCs w:val="20"/>
              </w:rPr>
              <w:t xml:space="preserve">Legal basis</w:t>
            </w:r>
          </w:p>
        </w:tc>
        <w:tc>
          <w:tcPr>
            <w:tcW w:type="dxa" w:w="6880"/>
            <w:shd w:fill="FFFCF7" w:val="clear"/>
            <w:tcMar>
              <w:top w:type="dxa" w:w="100"/>
              <w:left w:type="dxa" w:w="120"/>
              <w:bottom w:type="dxa" w:w="100"/>
              <w:right w:type="dxa" w:w="120"/>
            </w:tcMar>
          </w:tcPr>
          <w:p>
            <w:pPr>
              <w:spacing w:after="60"/>
            </w:pPr>
            <w:r>
              <w:rPr>
                <w:sz w:val="20"/>
                <w:szCs w:val="20"/>
              </w:rPr>
              <w:t xml:space="preserve">What legally supports the use?</w:t>
            </w:r>
          </w:p>
        </w:tc>
      </w:tr>
      <w:tr>
        <w:tc>
          <w:tcPr>
            <w:tcW w:type="dxa" w:w="3200"/>
            <w:shd w:fill="FFFCF7" w:val="clear"/>
            <w:tcMar>
              <w:top w:type="dxa" w:w="100"/>
              <w:left w:type="dxa" w:w="120"/>
              <w:bottom w:type="dxa" w:w="100"/>
              <w:right w:type="dxa" w:w="120"/>
            </w:tcMar>
          </w:tcPr>
          <w:p>
            <w:pPr>
              <w:spacing w:after="60"/>
            </w:pPr>
            <w:r>
              <w:rPr>
                <w:sz w:val="20"/>
                <w:szCs w:val="20"/>
              </w:rPr>
              <w:t xml:space="preserve">Covered components</w:t>
            </w:r>
          </w:p>
        </w:tc>
        <w:tc>
          <w:tcPr>
            <w:tcW w:type="dxa" w:w="6880"/>
            <w:shd w:fill="FFFCF7" w:val="clear"/>
            <w:tcMar>
              <w:top w:type="dxa" w:w="100"/>
              <w:left w:type="dxa" w:w="120"/>
              <w:bottom w:type="dxa" w:w="100"/>
              <w:right w:type="dxa" w:w="120"/>
            </w:tcMar>
          </w:tcPr>
          <w:p>
            <w:pPr>
              <w:spacing w:after="60"/>
            </w:pPr>
            <w:r>
              <w:rPr>
                <w:sz w:val="20"/>
                <w:szCs w:val="20"/>
              </w:rPr>
              <w:t xml:space="preserve">What exactly is covered?</w:t>
            </w:r>
          </w:p>
        </w:tc>
      </w:tr>
      <w:tr>
        <w:tc>
          <w:tcPr>
            <w:tcW w:type="dxa" w:w="3200"/>
            <w:shd w:fill="FFFCF7" w:val="clear"/>
            <w:tcMar>
              <w:top w:type="dxa" w:w="100"/>
              <w:left w:type="dxa" w:w="120"/>
              <w:bottom w:type="dxa" w:w="100"/>
              <w:right w:type="dxa" w:w="120"/>
            </w:tcMar>
          </w:tcPr>
          <w:p>
            <w:pPr>
              <w:spacing w:after="60"/>
            </w:pPr>
            <w:r>
              <w:rPr>
                <w:sz w:val="20"/>
                <w:szCs w:val="20"/>
              </w:rPr>
              <w:t xml:space="preserve">Excluded components</w:t>
            </w:r>
          </w:p>
        </w:tc>
        <w:tc>
          <w:tcPr>
            <w:tcW w:type="dxa" w:w="6880"/>
            <w:shd w:fill="FFFCF7" w:val="clear"/>
            <w:tcMar>
              <w:top w:type="dxa" w:w="100"/>
              <w:left w:type="dxa" w:w="120"/>
              <w:bottom w:type="dxa" w:w="100"/>
              <w:right w:type="dxa" w:w="120"/>
            </w:tcMar>
          </w:tcPr>
          <w:p>
            <w:pPr>
              <w:spacing w:after="60"/>
            </w:pPr>
            <w:r>
              <w:rPr>
                <w:sz w:val="20"/>
                <w:szCs w:val="20"/>
              </w:rPr>
              <w:t xml:space="preserve">What must not be assumed covered?</w:t>
            </w:r>
          </w:p>
        </w:tc>
      </w:tr>
      <w:tr>
        <w:tc>
          <w:tcPr>
            <w:tcW w:type="dxa" w:w="3200"/>
            <w:shd w:fill="FFFCF7" w:val="clear"/>
            <w:tcMar>
              <w:top w:type="dxa" w:w="100"/>
              <w:left w:type="dxa" w:w="120"/>
              <w:bottom w:type="dxa" w:w="100"/>
              <w:right w:type="dxa" w:w="120"/>
            </w:tcMar>
          </w:tcPr>
          <w:p>
            <w:pPr>
              <w:spacing w:after="60"/>
            </w:pPr>
            <w:r>
              <w:rPr>
                <w:sz w:val="20"/>
                <w:szCs w:val="20"/>
              </w:rPr>
              <w:t xml:space="preserve">Territory</w:t>
            </w:r>
          </w:p>
        </w:tc>
        <w:tc>
          <w:tcPr>
            <w:tcW w:type="dxa" w:w="6880"/>
            <w:shd w:fill="FFFCF7" w:val="clear"/>
            <w:tcMar>
              <w:top w:type="dxa" w:w="100"/>
              <w:left w:type="dxa" w:w="120"/>
              <w:bottom w:type="dxa" w:w="100"/>
              <w:right w:type="dxa" w:w="120"/>
            </w:tcMar>
          </w:tcPr>
          <w:p>
            <w:pPr>
              <w:spacing w:after="60"/>
            </w:pPr>
            <w:r>
              <w:rPr>
                <w:sz w:val="20"/>
                <w:szCs w:val="20"/>
              </w:rPr>
              <w:t xml:space="preserve">Where does this apply?</w:t>
            </w:r>
          </w:p>
        </w:tc>
      </w:tr>
      <w:tr>
        <w:tc>
          <w:tcPr>
            <w:tcW w:type="dxa" w:w="3200"/>
            <w:shd w:fill="FFFCF7" w:val="clear"/>
            <w:tcMar>
              <w:top w:type="dxa" w:w="100"/>
              <w:left w:type="dxa" w:w="120"/>
              <w:bottom w:type="dxa" w:w="100"/>
              <w:right w:type="dxa" w:w="120"/>
            </w:tcMar>
          </w:tcPr>
          <w:p>
            <w:pPr>
              <w:spacing w:after="60"/>
            </w:pPr>
            <w:r>
              <w:rPr>
                <w:sz w:val="20"/>
                <w:szCs w:val="20"/>
              </w:rPr>
              <w:t xml:space="preserve">Evidence source</w:t>
            </w:r>
          </w:p>
        </w:tc>
        <w:tc>
          <w:tcPr>
            <w:tcW w:type="dxa" w:w="6880"/>
            <w:shd w:fill="FFFCF7" w:val="clear"/>
            <w:tcMar>
              <w:top w:type="dxa" w:w="100"/>
              <w:left w:type="dxa" w:w="120"/>
              <w:bottom w:type="dxa" w:w="100"/>
              <w:right w:type="dxa" w:w="120"/>
            </w:tcMar>
          </w:tcPr>
          <w:p>
            <w:pPr>
              <w:spacing w:after="60"/>
            </w:pPr>
            <w:r>
              <w:rPr>
                <w:sz w:val="20"/>
                <w:szCs w:val="20"/>
              </w:rPr>
              <w:t xml:space="preserve">What supports the claim?</w:t>
            </w:r>
          </w:p>
        </w:tc>
      </w:tr>
      <w:tr>
        <w:tc>
          <w:tcPr>
            <w:tcW w:type="dxa" w:w="3200"/>
            <w:shd w:fill="FFFCF7" w:val="clear"/>
            <w:tcMar>
              <w:top w:type="dxa" w:w="100"/>
              <w:left w:type="dxa" w:w="120"/>
              <w:bottom w:type="dxa" w:w="100"/>
              <w:right w:type="dxa" w:w="120"/>
            </w:tcMar>
          </w:tcPr>
          <w:p>
            <w:pPr>
              <w:spacing w:after="60"/>
            </w:pPr>
            <w:r>
              <w:rPr>
                <w:sz w:val="20"/>
                <w:szCs w:val="20"/>
              </w:rPr>
              <w:t xml:space="preserve">Review and authority status</w:t>
            </w:r>
          </w:p>
        </w:tc>
        <w:tc>
          <w:tcPr>
            <w:tcW w:type="dxa" w:w="6880"/>
            <w:shd w:fill="FFFCF7" w:val="clear"/>
            <w:tcMar>
              <w:top w:type="dxa" w:w="100"/>
              <w:left w:type="dxa" w:w="120"/>
              <w:bottom w:type="dxa" w:w="100"/>
              <w:right w:type="dxa" w:w="120"/>
            </w:tcMar>
          </w:tcPr>
          <w:p>
            <w:pPr>
              <w:spacing w:after="60"/>
            </w:pPr>
            <w:r>
              <w:rPr>
                <w:sz w:val="20"/>
                <w:szCs w:val="20"/>
              </w:rPr>
              <w:t xml:space="preserve">Who examined it and is an official body involved?</w:t>
            </w:r>
          </w:p>
        </w:tc>
      </w:tr>
      <w:tr>
        <w:tc>
          <w:tcPr>
            <w:tcW w:type="dxa" w:w="3200"/>
            <w:shd w:fill="FFFCF7" w:val="clear"/>
            <w:tcMar>
              <w:top w:type="dxa" w:w="100"/>
              <w:left w:type="dxa" w:w="120"/>
              <w:bottom w:type="dxa" w:w="100"/>
              <w:right w:type="dxa" w:w="120"/>
            </w:tcMar>
          </w:tcPr>
          <w:p>
            <w:pPr>
              <w:spacing w:after="60"/>
            </w:pPr>
            <w:r>
              <w:rPr>
                <w:sz w:val="20"/>
                <w:szCs w:val="20"/>
              </w:rPr>
              <w:t xml:space="preserve">Current state</w:t>
            </w:r>
          </w:p>
        </w:tc>
        <w:tc>
          <w:tcPr>
            <w:tcW w:type="dxa" w:w="6880"/>
            <w:shd w:fill="FFFCF7" w:val="clear"/>
            <w:tcMar>
              <w:top w:type="dxa" w:w="100"/>
              <w:left w:type="dxa" w:w="120"/>
              <w:bottom w:type="dxa" w:w="100"/>
              <w:right w:type="dxa" w:w="120"/>
            </w:tcMar>
          </w:tcPr>
          <w:p>
            <w:pPr>
              <w:spacing w:after="60"/>
            </w:pPr>
            <w:r>
              <w:rPr>
                <w:sz w:val="20"/>
                <w:szCs w:val="20"/>
              </w:rPr>
              <w:t xml:space="preserve">Can it currently be relied on?</w:t>
            </w:r>
          </w:p>
        </w:tc>
      </w:tr>
      <w:tr>
        <w:tc>
          <w:tcPr>
            <w:tcW w:type="dxa" w:w="3200"/>
            <w:shd w:fill="FFFCF7" w:val="clear"/>
            <w:tcMar>
              <w:top w:type="dxa" w:w="100"/>
              <w:left w:type="dxa" w:w="120"/>
              <w:bottom w:type="dxa" w:w="100"/>
              <w:right w:type="dxa" w:w="120"/>
            </w:tcMar>
          </w:tcPr>
          <w:p>
            <w:pPr>
              <w:spacing w:after="60"/>
            </w:pPr>
            <w:r>
              <w:rPr>
                <w:sz w:val="20"/>
                <w:szCs w:val="20"/>
              </w:rPr>
              <w:t xml:space="preserve">Status history</w:t>
            </w:r>
          </w:p>
        </w:tc>
        <w:tc>
          <w:tcPr>
            <w:tcW w:type="dxa" w:w="6880"/>
            <w:shd w:fill="FFFCF7" w:val="clear"/>
            <w:tcMar>
              <w:top w:type="dxa" w:w="100"/>
              <w:left w:type="dxa" w:w="120"/>
              <w:bottom w:type="dxa" w:w="100"/>
              <w:right w:type="dxa" w:w="120"/>
            </w:tcMar>
          </w:tcPr>
          <w:p>
            <w:pPr>
              <w:spacing w:after="60"/>
            </w:pPr>
            <w:r>
              <w:rPr>
                <w:sz w:val="20"/>
                <w:szCs w:val="20"/>
              </w:rPr>
              <w:t xml:space="preserve">What changed, and when?</w:t>
            </w:r>
          </w:p>
        </w:tc>
      </w:tr>
      <w:tr>
        <w:tc>
          <w:tcPr>
            <w:tcW w:type="dxa" w:w="3200"/>
            <w:shd w:fill="FFFCF7" w:val="clear"/>
            <w:tcMar>
              <w:top w:type="dxa" w:w="100"/>
              <w:left w:type="dxa" w:w="120"/>
              <w:bottom w:type="dxa" w:w="100"/>
              <w:right w:type="dxa" w:w="120"/>
            </w:tcMar>
          </w:tcPr>
          <w:p>
            <w:pPr>
              <w:spacing w:after="60"/>
            </w:pPr>
            <w:r>
              <w:rPr>
                <w:sz w:val="20"/>
                <w:szCs w:val="20"/>
              </w:rPr>
              <w:t xml:space="preserve">Challenge route</w:t>
            </w:r>
          </w:p>
        </w:tc>
        <w:tc>
          <w:tcPr>
            <w:tcW w:type="dxa" w:w="6880"/>
            <w:shd w:fill="FFFCF7" w:val="clear"/>
            <w:tcMar>
              <w:top w:type="dxa" w:w="100"/>
              <w:left w:type="dxa" w:w="120"/>
              <w:bottom w:type="dxa" w:w="100"/>
              <w:right w:type="dxa" w:w="120"/>
            </w:tcMar>
          </w:tcPr>
          <w:p>
            <w:pPr>
              <w:spacing w:after="60"/>
            </w:pPr>
            <w:r>
              <w:rPr>
                <w:sz w:val="20"/>
                <w:szCs w:val="20"/>
              </w:rPr>
              <w:t xml:space="preserve">What happens if disputed?</w:t>
            </w:r>
          </w:p>
        </w:tc>
      </w:tr>
      <w:tr>
        <w:tc>
          <w:tcPr>
            <w:tcW w:type="dxa" w:w="3200"/>
            <w:shd w:fill="FFFCF7" w:val="clear"/>
            <w:tcMar>
              <w:top w:type="dxa" w:w="100"/>
              <w:left w:type="dxa" w:w="120"/>
              <w:bottom w:type="dxa" w:w="100"/>
              <w:right w:type="dxa" w:w="120"/>
            </w:tcMar>
          </w:tcPr>
          <w:p>
            <w:pPr>
              <w:spacing w:after="60"/>
            </w:pPr>
            <w:r>
              <w:rPr>
                <w:sz w:val="20"/>
                <w:szCs w:val="20"/>
              </w:rPr>
              <w:t xml:space="preserve">PRA-ID</w:t>
            </w:r>
          </w:p>
        </w:tc>
        <w:tc>
          <w:tcPr>
            <w:tcW w:type="dxa" w:w="6880"/>
            <w:shd w:fill="FFFCF7" w:val="clear"/>
            <w:tcMar>
              <w:top w:type="dxa" w:w="100"/>
              <w:left w:type="dxa" w:w="120"/>
              <w:bottom w:type="dxa" w:w="100"/>
              <w:right w:type="dxa" w:w="120"/>
            </w:tcMar>
          </w:tcPr>
          <w:p>
            <w:pPr>
              <w:spacing w:after="60"/>
            </w:pPr>
            <w:r>
              <w:rPr>
                <w:sz w:val="20"/>
                <w:szCs w:val="20"/>
              </w:rPr>
              <w:t xml:space="preserve">Where can the record be verified?</w:t>
            </w:r>
          </w:p>
        </w:tc>
      </w:tr>
    </w:tbl>
    <w:p>
      <w:pPr>
        <w:pStyle w:val="Heading2"/>
        <w:spacing w:after="150" w:before="300"/>
      </w:pPr>
      <w:r>
        <w:t xml:space="preserve">18. Four-layer architecture</w:t>
      </w:r>
    </w:p>
    <w:p>
      <w:pPr>
        <w:spacing w:after="160"/>
      </w:pPr>
      <w:r>
        <w:t xml:space="preserve">Layer 1, printed: short mark, territory, components, stable text PRA-ID, and plain-language disclaimer, optionally with QR. Layer 2, canonical machine-readable record: documented JSON-LD, RDF, XML, or equivalent carrying identifiers, components, basis, territory, evidence, review, authority, current state, events, challenge route, and document links. Layer 3, resolver: human-readable and machine-readable representations, current status, event history, evidence, challenge process, and mirror or archive references. Layer 4, integrity: optional signed records, hashes, Merkle anchoring, public timestamping, distributed mirrors, blockchain anchoring, or verifiable credentials. Layers 1-3 are required; Layer 4 is optional.</w:t>
      </w:r>
    </w:p>
    <w:p>
      <w:pPr>
        <w:pStyle w:val="Heading2"/>
        <w:spacing w:after="150" w:before="300"/>
      </w:pPr>
      <w:r>
        <w:t xml:space="preserve">19. Verifiable credentials and blockchain readiness</w:t>
      </w:r>
    </w:p>
    <w:p>
      <w:pPr>
        <w:spacing w:after="160"/>
      </w:pPr>
      <w:r>
        <w:t xml:space="preserve">PRA's record model can fit a verifiable-credential pattern before it fits any blockchain: an issuer signs a credential naming the work or edition, covered components, territories, legal basis, evidence references, review and authority status, expiry, current state, and revocation status; a publisher presents it; a library, bookseller, printer, regulator, or reader verifies it.</w:t>
      </w:r>
    </w:p>
    <w:p>
      <w:pPr>
        <w:spacing w:after="160"/>
      </w:pPr>
      <w:r>
        <w:t xml:space="preserve">A ledger can show that a record existed at a time, that versions were not altered unnoticed, that an event history is tamper-evident, and that a key signed a record. It cannot show that a rights holder owned the claimed right, that a search was legally sufficient, that a public-domain conclusion was correct, that an authority had jurisdiction, or that a document was genuine. A ledger preserves the history of claims and events; it does not establish their accuracy or legal effect.</w:t>
      </w:r>
    </w:p>
    <w:p>
      <w:pPr>
        <w:spacing w:after="160"/>
      </w:pPr>
      <w:r>
        <w:t xml:space="preserve">If ledger anchoring is adopted, sensitive personal data, private correspondence, agreements, payment information, and full copyrighted documents should remain off-chain. A permissioned or consortium model may be considered only where multiple institutions demonstrate a shared governance need. PRA must not become an NFT, tradeable licence token, speculative asset, or token purporting to transfer copyright ownership.</w:t>
      </w:r>
    </w:p>
    <w:p>
      <w:pPr>
        <w:spacing w:after="160"/>
      </w:pPr>
      <w:r>
        <w:t xml:space="preserve">The recommended sequence is: stabilise the vocabulary; publish the minimum schema; build a normal web resolver; test real books and users; add signed records or verifiable credentials where useful; anchor hashes only where a demonstrated trust problem calls for it; and consider consortium governance only after multiple institutions need it.</w:t>
      </w:r>
    </w:p>
    <w:p>
      <w:pPr>
        <w:pStyle w:val="Heading1"/>
        <w:spacing w:after="200" w:before="400"/>
      </w:pPr>
      <w:r>
        <w:t xml:space="preserve">20. Final position</w:t>
      </w:r>
    </w:p>
    <w:p>
      <w:pPr>
        <w:spacing w:after="160"/>
      </w:pPr>
      <w:r>
        <w:t xml:space="preserve">PRA is not a wholly new copyright category, international licence, blockchain rights registry, global standard, or legal certification system. It is a proposed print-facing provenance and rights-information protocol designed for interoperability and optional future machine-verifiable implementation. Its defensible contribution is a minimum-necessary workflow connecting rights data, search evidence, national legal authority, bounded reprint permissions, component-level provenance, revocation, and optional payment routing, crosswalked to existing systems and tested through a real pilot. The legally safest implementation begins with voluntary Source A deeds and a narrow national Source B pilot for preservation and non-commercial institutional reprinting before any claim of institutional readiness.</w:t>
      </w:r>
    </w:p>
    <w:p>
      <w:pPr>
        <w:pBdr>
          <w:bottom w:val="single" w:color="1B365D" w:sz="8" w:space="4"/>
        </w:pBdr>
        <w:spacing w:after="200" w:before="200"/>
      </w:pPr>
      <w:r>
        <w:t xml:space="preserve"/>
      </w:r>
    </w:p>
    <w:p>
      <w:pPr>
        <w:pStyle w:val="Heading2"/>
        <w:spacing w:after="150" w:before="300"/>
      </w:pPr>
      <w:r>
        <w:t xml:space="preserve">Sources and related systems</w:t>
      </w:r>
    </w:p>
    <w:p>
      <w:pPr>
        <w:spacing w:after="160"/>
      </w:pPr>
      <w:r>
        <w:rPr>
          <w:i/>
          <w:iCs/>
        </w:rPr>
        <w:t xml:space="preserve">This is not an exhaustive bibliography. It lists the systems, statutes, cases, and literature this paper relies on or compares itself to, so a reader can check each claim against its source rather than take the comparison on trust.</w:t>
      </w:r>
    </w:p>
    <w:p>
      <w:pPr>
        <w:spacing w:after="160"/>
      </w:pPr>
      <w:r>
        <w:rPr>
          <w:b/>
          <w:bCs/>
        </w:rPr>
        <w:t xml:space="preserve">Existing rights systems</w:t>
      </w:r>
    </w:p>
    <w:p>
      <w:pPr>
        <w:spacing w:after="160"/>
      </w:pPr>
      <w:hyperlink w:history="1" r:id="rIdlvcy_y9p2m1pcbu-iolbg">
        <w:r>
          <w:rPr>
            <w:color w:val="1F6B5A"/>
            <w:u w:val="single"/>
          </w:rPr>
          <w:t xml:space="preserve">RightsStatements.org</w:t>
        </w:r>
      </w:hyperlink>
      <w:r>
        <w:t xml:space="preserve"> : rights-statement vocabulary and URI model; see also its technical white papers on the infrastructure for standardized international rights statements.</w:t>
      </w:r>
    </w:p>
    <w:p>
      <w:pPr>
        <w:spacing w:after="160"/>
      </w:pPr>
      <w:hyperlink w:history="1" r:id="rIdbbq-86moq1hoyfkaoi7se">
        <w:r>
          <w:rPr>
            <w:color w:val="1F6B5A"/>
            <w:u w:val="single"/>
          </w:rPr>
          <w:t xml:space="preserve">HathiTrust Rights Database</w:t>
        </w:r>
      </w:hyperlink>
      <w:r>
        <w:t xml:space="preserve"> : institutional rights metadata and access-determination documentation.</w:t>
      </w:r>
    </w:p>
    <w:p>
      <w:pPr>
        <w:spacing w:after="160"/>
      </w:pPr>
      <w:hyperlink w:history="1" r:id="rId5iogpoeiuvndvble8vf-q">
        <w:r>
          <w:rPr>
            <w:color w:val="1F6B5A"/>
            <w:u w:val="single"/>
          </w:rPr>
          <w:t xml:space="preserve">Creative Commons Public Domain Mark 1.0</w:t>
        </w:r>
      </w:hyperlink>
      <w:r>
        <w:t xml:space="preserve">.</w:t>
      </w:r>
    </w:p>
    <w:p>
      <w:pPr>
        <w:spacing w:after="160"/>
      </w:pPr>
      <w:hyperlink w:history="1" r:id="rIdynzvkjrqlkcpilf2ltn8i">
        <w:r>
          <w:rPr>
            <w:color w:val="1F6B5A"/>
            <w:u w:val="single"/>
          </w:rPr>
          <w:t xml:space="preserve">EUIPO Out-of-Commerce Works Portal</w:t>
        </w:r>
      </w:hyperlink>
      <w:r>
        <w:t xml:space="preserve">, implementing Directive (EU) 2019/790, Arts 8-11.</w:t>
      </w:r>
    </w:p>
    <w:p>
      <w:pPr>
        <w:spacing w:after="160"/>
      </w:pPr>
      <w:r>
        <w:t xml:space="preserve">World Intellectual Property Organization, ST.96: WIPO Standard for the establishment of an XML schema for the exchange of IP information.</w:t>
      </w:r>
    </w:p>
    <w:p>
      <w:pPr>
        <w:spacing w:after="160"/>
      </w:pPr>
      <w:r>
        <w:rPr>
          <w:b/>
          <w:bCs/>
        </w:rPr>
        <w:t xml:space="preserve">Orphan-work and diligent-search law</w:t>
      </w:r>
    </w:p>
    <w:p>
      <w:pPr>
        <w:spacing w:after="160"/>
      </w:pPr>
      <w:r>
        <w:t xml:space="preserve">Copyright Act, R.S.C. 1985, c. C-42, s.77 (Canada); Copyright Board of Canada, “Unlocatable Copyright Owners.”</w:t>
      </w:r>
    </w:p>
    <w:p>
      <w:pPr>
        <w:spacing w:after="160"/>
      </w:pPr>
      <w:r>
        <w:t xml:space="preserve">DeBeer, J. and Bouchard, M. (2010). “Canada's 'Orphan Works' Regime: Unlocatable Owners and the Copyright Board.” Oxford University Commonwealth Law Journal, 10(2), 215-255.</w:t>
      </w:r>
    </w:p>
    <w:p>
      <w:pPr>
        <w:spacing w:after="160"/>
      </w:pPr>
      <w:r>
        <w:t xml:space="preserve">Orphan Works Licensing Scheme, Intellectual Property Office (United Kingdom), in force since 29 October 2014, implementing the Copyright and Rights in Performances (Licensing of Orphan Works) Regulations 2014.</w:t>
      </w:r>
    </w:p>
    <w:p>
      <w:pPr>
        <w:spacing w:after="160"/>
      </w:pPr>
      <w:r>
        <w:t xml:space="preserve">Copyright Act (Japan), Act No. 48 of 1970, Art. 67, as amended by Act No. 33 of 2023.</w:t>
      </w:r>
    </w:p>
    <w:p>
      <w:pPr>
        <w:spacing w:after="160"/>
      </w:pPr>
      <w:r>
        <w:t xml:space="preserve">Copyright Act, 1957 (India), s.31A, as amended in 2012.</w:t>
      </w:r>
    </w:p>
    <w:p>
      <w:pPr>
        <w:spacing w:after="160"/>
      </w:pPr>
      <w:r>
        <w:t xml:space="preserve">Intellectual Property Act, No. 36 of 2003 (Sri Lanka), ss.11-12 (fair use and library/archive exceptions); WIPO Lex No. LK004.</w:t>
      </w:r>
    </w:p>
    <w:p>
      <w:pPr>
        <w:spacing w:after="160"/>
      </w:pPr>
      <w:r>
        <w:t xml:space="preserve">Directive 2012/28/EU of the European Parliament and of the Council on certain permitted uses of orphan works.</w:t>
      </w:r>
    </w:p>
    <w:p>
      <w:pPr>
        <w:spacing w:after="160"/>
      </w:pPr>
      <w:r>
        <w:t xml:space="preserve">Directive (EU) 2019/790 of the European Parliament and of the Council on copyright and related rights in the Digital Single Market, Arts 8-11.</w:t>
      </w:r>
    </w:p>
    <w:p>
      <w:pPr>
        <w:spacing w:after="160"/>
      </w:pPr>
      <w:r>
        <w:t xml:space="preserve">Crews, K. D. (2017). Study on Copyright Limitations and Exceptions for Libraries and Archives: Updated and Revised (2017 edition). WIPO SCCR/35/6, prepared for the Standing Committee on Copyright and Related Rights, building on Crews' 2008 and 2014 studies for WIPO.</w:t>
      </w:r>
    </w:p>
    <w:p>
      <w:pPr>
        <w:spacing w:after="160"/>
      </w:pPr>
      <w:r>
        <w:t xml:space="preserve">U.S. Copyright Office (2006). Report on Orphan Works.</w:t>
      </w:r>
    </w:p>
    <w:p>
      <w:pPr>
        <w:spacing w:after="160"/>
      </w:pPr>
      <w:r>
        <w:rPr>
          <w:b/>
          <w:bCs/>
        </w:rPr>
        <w:t xml:space="preserve">Case law</w:t>
      </w:r>
    </w:p>
    <w:p>
      <w:pPr>
        <w:spacing w:after="160"/>
      </w:pPr>
      <w:r>
        <w:t xml:space="preserve">Soulier and Doke v Premier ministre and Ministre de la Culture et de la Communication, Case C-301/15, Court of Justice of the European Union, judgment of 16 November 2016.</w:t>
      </w:r>
    </w:p>
    <w:p>
      <w:pPr>
        <w:spacing w:after="160"/>
      </w:pPr>
      <w:r>
        <w:t xml:space="preserve">Authors Guild v. Google, Inc., 770 F. Supp. 2d 666 (S.D.N.Y. 2011) (rejecting the proposed settlement).</w:t>
      </w:r>
    </w:p>
    <w:p>
      <w:pPr>
        <w:spacing w:after="160"/>
      </w:pPr>
      <w:r>
        <w:rPr>
          <w:b/>
          <w:bCs/>
        </w:rPr>
        <w:t xml:space="preserve">Prior protocol proposals</w:t>
      </w:r>
    </w:p>
    <w:p>
      <w:pPr>
        <w:spacing w:after="160"/>
      </w:pPr>
      <w:r>
        <w:t xml:space="preserve">Automated Content Access Protocol (ACAP), proposed 2006 by the World Association of Newspapers, European Publishers Council, and International Publishers Association; management later transferred to the International Press Telecommunications Council. Discontinued in practice after the major search platforms declined to adopt it.</w:t>
      </w:r>
    </w:p>
    <w:p>
      <w:pPr>
        <w:spacing w:after="160"/>
      </w:pPr>
      <w:r>
        <w:rPr>
          <w:b/>
          <w:bCs/>
        </w:rPr>
        <w:t xml:space="preserve">Technical standards for future interoperability</w:t>
      </w:r>
    </w:p>
    <w:p>
      <w:pPr>
        <w:spacing w:after="160"/>
      </w:pPr>
      <w:hyperlink w:history="1" r:id="rIdtyrj-re3q9v-3rzem1imk">
        <w:r>
          <w:rPr>
            <w:color w:val="1F6B5A"/>
            <w:u w:val="single"/>
          </w:rPr>
          <w:t xml:space="preserve">W3C Verifiable Credentials Data Model</w:t>
        </w:r>
      </w:hyperlink>
      <w:r>
        <w:t xml:space="preserve">.</w:t>
      </w:r>
    </w:p>
    <w:p>
      <w:pPr>
        <w:pBdr>
          <w:bottom w:val="single" w:color="1B365D" w:sz="8" w:space="4"/>
        </w:pBdr>
        <w:spacing w:after="200" w:before="200"/>
      </w:pPr>
      <w:r>
        <w:t xml:space="preserve"/>
      </w:r>
    </w:p>
    <w:p>
      <w:pPr>
        <w:pStyle w:val="Heading2"/>
        <w:spacing w:after="150" w:before="300"/>
      </w:pPr>
      <w:r>
        <w:t xml:space="preserve">Declaration of AI-assisted writing</w:t>
      </w:r>
    </w:p>
    <w:p>
      <w:pPr>
        <w:spacing w:after="160"/>
      </w:pPr>
      <w:r>
        <w:t xml:space="preserve">The proposal and this paper are human-directed and human-accountable, with disclosed AI assistance. Generative AI tools were used during preparation of this paper to assist with brainstorming, restructuring, language refinement, and drafting or rewriting of selected passages. The author reviewed and revised the resulting text and takes full responsibility for the paper's arguments, legal analysis, factual claims, citations, originality, and final form. AI-generated suggestions were treated as leads only. Each source listed above was checked against an official, primary, or peer-reviewed publication at the time of writing; a small number (the exact text of India's s.31A and the full text of the cases cited) were confirmed through authoritative secondary summaries rather than the complete primary document, and should be verified against the primary text before this paper is relied upon for a specific legal position. No AI tool is an author, legal adviser, institutional sponsor, or source of law.</w:t>
      </w:r>
    </w:p>
    <w:p>
      <w:pPr>
        <w:pBdr>
          <w:bottom w:val="single" w:color="1B365D" w:sz="8" w:space="4"/>
        </w:pBdr>
        <w:spacing w:after="200" w:before="200"/>
      </w:pPr>
      <w:r>
        <w:t xml:space="preserve"/>
      </w:r>
    </w:p>
    <w:p>
      <w:pPr>
        <w:spacing w:before="200"/>
      </w:pPr>
      <w:r>
        <w:rPr>
          <w:i/>
          <w:iCs/>
          <w:color w:val="555555"/>
          <w:sz w:val="20"/>
          <w:szCs w:val="20"/>
        </w:rPr>
        <w:t xml:space="preserve">Single-author draft. Not externally peer-reviewed. Offered for comment.</w:t>
      </w:r>
    </w:p>
    <w:p>
      <w:pPr>
        <w:spacing w:after="0"/>
      </w:pPr>
      <w:r>
        <w:rPr>
          <w:color w:val="555555"/>
          <w:sz w:val="20"/>
          <w:szCs w:val="20"/>
        </w:rPr>
        <w:t xml:space="preserve">Jayathilaka, W. A. H. S. (2026). Printing Right Attribution (PRA): A print-facing protocol for documenting the rights basis of reprints. Informal working paper, V1, 23 September 2026.</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80" w:before="360"/>
    </w:pPr>
    <w:rPr>
      <w:rFonts w:ascii="Georgia" w:cs="Georgia" w:eastAsia="Georgia" w:hAnsi="Georgia"/>
      <w:b/>
      <w:bCs/>
      <w:color w:val="1B365D"/>
      <w:sz w:val="30"/>
      <w:szCs w:val="30"/>
    </w:rPr>
  </w:style>
  <w:style w:type="paragraph" w:styleId="Heading2">
    <w:name w:val="Heading 2"/>
    <w:basedOn w:val="Normal"/>
    <w:next w:val="Normal"/>
    <w:pPr>
      <w:spacing w:after="140" w:before="280"/>
    </w:pPr>
    <w:rPr>
      <w:rFonts w:ascii="Georgia" w:cs="Georgia" w:eastAsia="Georgia" w:hAnsi="Georgia"/>
      <w:b/>
      <w:bCs/>
      <w:color w:val="1F6B5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x5bhptimerotcd1yg0o4" Type="http://schemas.openxmlformats.org/officeDocument/2006/relationships/hyperlink" Target="https://rightsstatements.org/" TargetMode="External"/><Relationship Id="rIdaqvqfkrmx-zbgtr1p4izc" Type="http://schemas.openxmlformats.org/officeDocument/2006/relationships/hyperlink" Target="https://creativecommons.org/publicdomain/mark/1.0/" TargetMode="External"/><Relationship Id="rIdbqhk_c-eidbvs5f6c1iw-" Type="http://schemas.openxmlformats.org/officeDocument/2006/relationships/hyperlink" Target="https://www.hathitrust.org/rights_database" TargetMode="External"/><Relationship Id="rId4vlxek7c4uisq1qmxp46c" Type="http://schemas.openxmlformats.org/officeDocument/2006/relationships/hyperlink" Target="https://euipo.europa.eu/out-of-commerce/" TargetMode="External"/><Relationship Id="rId6ld1y7oj2h0tbx4xoviu9" Type="http://schemas.openxmlformats.org/officeDocument/2006/relationships/hyperlink" Target="https://www.cb-cda.gc.ca/en/unlocatable-owners" TargetMode="External"/><Relationship Id="rIdfu3z2agg8y7vbsa9ji_9k" Type="http://schemas.openxmlformats.org/officeDocument/2006/relationships/hyperlink" Target="https://www.gov.uk/orphan-works-licensing-scheme" TargetMode="External"/><Relationship Id="rIdnfmv4m2nmy113lbviof6t" Type="http://schemas.openxmlformats.org/officeDocument/2006/relationships/hyperlink" Target="https://www.japaneselawtranslation.go.jp/en/laws/view/3379/en" TargetMode="External"/><Relationship Id="rIdlvcy_y9p2m1pcbu-iolbg" Type="http://schemas.openxmlformats.org/officeDocument/2006/relationships/hyperlink" Target="https://rightsstatements.org/" TargetMode="External"/><Relationship Id="rIdbbq-86moq1hoyfkaoi7se" Type="http://schemas.openxmlformats.org/officeDocument/2006/relationships/hyperlink" Target="https://www.hathitrust.org/rights_database" TargetMode="External"/><Relationship Id="rId5iogpoeiuvndvble8vf-q" Type="http://schemas.openxmlformats.org/officeDocument/2006/relationships/hyperlink" Target="https://creativecommons.org/publicdomain/mark/1.0/" TargetMode="External"/><Relationship Id="rIdynzvkjrqlkcpilf2ltn8i" Type="http://schemas.openxmlformats.org/officeDocument/2006/relationships/hyperlink" Target="https://euipo.europa.eu/out-of-commerce/" TargetMode="External"/><Relationship Id="rIdtyrj-re3q9v-3rzem1imk" Type="http://schemas.openxmlformats.org/officeDocument/2006/relationships/hyperlink" Target="https://www.w3.org/TR/vc-data-model/"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2026-09-26T09:34:28.197Z</dcterms:created>
  <dcterms:modified xsi:type="dcterms:W3CDTF">2026-09-26T09:34:28.207Z</dcterms:modified>
</cp:coreProperties>
</file>

<file path=docProps/custom.xml><?xml version="1.0" encoding="utf-8"?>
<Properties xmlns="http://schemas.openxmlformats.org/officeDocument/2006/custom-properties" xmlns:vt="http://schemas.openxmlformats.org/officeDocument/2006/docPropsVTypes"/>
</file>