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555555"/>
          <w:sz w:val="30"/>
          <w:szCs w:val="30"/>
        </w:rPr>
        <w:t xml:space="preserve">ADDENDUM TO THE PRA FRAMEWORK</w:t>
      </w:r>
    </w:p>
    <w:p>
      <w:pPr>
        <w:spacing w:after="40"/>
      </w:pPr>
      <w:r>
        <w:rPr>
          <w:b/>
          <w:bCs/>
          <w:color w:val="1B365D"/>
          <w:sz w:val="40"/>
          <w:szCs w:val="40"/>
        </w:rPr>
        <w:t xml:space="preserve">LOST PROVENANCE AND TWO PROPOSED STATUS MARKS</w:t>
      </w:r>
    </w:p>
    <w:p>
      <w:pPr>
        <w:spacing w:after="60"/>
      </w:pPr>
      <w:r>
        <w:rPr>
          <w:i/>
          <w:iCs/>
          <w:color w:val="555555"/>
          <w:sz w:val="24"/>
          <w:szCs w:val="24"/>
        </w:rPr>
        <w:t xml:space="preserve">PD-V (public-domain verification) and COMP-X (component exclusion)</w:t>
      </w:r>
    </w:p>
    <w:p>
      <w:pPr>
        <w:spacing w:after="300"/>
      </w:pPr>
      <w:r>
        <w:rPr>
          <w:color w:val="555555"/>
          <w:sz w:val="20"/>
          <w:szCs w:val="20"/>
        </w:rPr>
        <w:t xml:space="preserve">25 September 2026 · Proposed industry practice · Not existing WIPO or CC standards · Treaty only later, if States want it</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9020"/>
      </w:tblGrid>
      <w:tr>
        <w:tc>
          <w:tcPr>
            <w:tcW w:type="dxa" w:w="9020"/>
            <w:tcBorders>
              <w:top w:val="single" w:color="8A6D3B" w:sz="10"/>
              <w:left w:val="single" w:color="8A6D3B" w:sz="10"/>
              <w:bottom w:val="single" w:color="8A6D3B" w:sz="10"/>
              <w:right w:val="single" w:color="8A6D3B" w:sz="10"/>
            </w:tcBorders>
            <w:shd w:fill="F3EFE3" w:val="clear"/>
            <w:tcMar>
              <w:top w:type="dxa" w:w="160"/>
              <w:left w:type="dxa" w:w="200"/>
              <w:bottom w:type="dxa" w:w="160"/>
              <w:right w:type="dxa" w:w="200"/>
            </w:tcMar>
          </w:tcPr>
          <w:p>
            <w:pPr>
              <w:spacing w:after="100"/>
            </w:pPr>
            <w:r>
              <w:rPr>
                <w:b/>
                <w:bCs/>
                <w:color w:val="1B365D"/>
              </w:rPr>
              <w:t xml:space="preserve">A PRA mark is information, not certification</w:t>
            </w:r>
          </w:p>
          <w:p>
            <w:pPr>
              <w:spacing w:after="0"/>
            </w:pPr>
            <w:r>
              <w:rPr>
                <w:b w:val="false"/>
                <w:bCs w:val="false"/>
                <w:color w:val="1B365D"/>
              </w:rPr>
              <w:t xml:space="preserve">A PRA mark communicates the scope and basis of a recorded claim. It is not a government certification, court determination, warranty of non-infringement, or substitute for legal advice. A PRA-ID identifies a record; it does not create a right.</w:t>
            </w:r>
          </w:p>
        </w:tc>
      </w:tr>
    </w:tbl>
    <w:p>
      <w:pPr>
        <w:spacing w:after="160"/>
      </w:pPr>
      <w:r>
        <w:t xml:space="preserve">This addendum sits beside the 23 September Printing Right Attribution framework (V1). It does not add a fourth licence. It proposes two status marks for the reprint trade, states the provenance problem they are meant to make visible, and sets out the evidence, record, and challenge requirements needed for those marks to function as a serious industry practice rather than an unverified label.</w:t>
      </w:r>
    </w:p>
    <w:p>
      <w:pPr>
        <w:pStyle w:val="Heading1"/>
        <w:spacing w:after="200" w:before="400"/>
      </w:pPr>
      <w:r>
        <w:t xml:space="preserve">1. The proposed marks</w:t>
      </w:r>
    </w:p>
    <w:p>
      <w:pPr>
        <w:spacing w:after="160"/>
      </w:pPr>
      <w:r>
        <w:t xml:space="preserve">Printing Right Attribution already names two permission pointers: PRA-A (voluntary deed) and PRA-B (national authority licence). The reprint market also needs two status statements that are not licences. They are proposed for use, critique, and adaptation. They are not Creative Commons marks, RightsStatements.org codes, or WIPO standards.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500"/>
        <w:gridCol w:w="1900"/>
        <w:gridCol w:w="3480"/>
        <w:gridCol w:w="3200"/>
      </w:tblGrid>
      <w:tr>
        <w:trPr>
          <w:tblHeader/>
        </w:trPr>
        <w:tc>
          <w:tcPr>
            <w:tcW w:type="dxa" w:w="1500"/>
            <w:shd w:fill="1B365D" w:val="clear"/>
            <w:tcMar>
              <w:top w:type="dxa" w:w="100"/>
              <w:left w:type="dxa" w:w="120"/>
              <w:bottom w:type="dxa" w:w="100"/>
              <w:right w:type="dxa" w:w="120"/>
            </w:tcMar>
          </w:tcPr>
          <w:p>
            <w:r>
              <w:rPr>
                <w:b/>
                <w:bCs/>
                <w:color w:val="FFFFFF"/>
                <w:sz w:val="20"/>
                <w:szCs w:val="20"/>
              </w:rPr>
              <w:t xml:space="preserve">Mark</w:t>
            </w:r>
          </w:p>
        </w:tc>
        <w:tc>
          <w:tcPr>
            <w:tcW w:type="dxa" w:w="1900"/>
            <w:shd w:fill="1B365D" w:val="clear"/>
            <w:tcMar>
              <w:top w:type="dxa" w:w="100"/>
              <w:left w:type="dxa" w:w="120"/>
              <w:bottom w:type="dxa" w:w="100"/>
              <w:right w:type="dxa" w:w="120"/>
            </w:tcMar>
          </w:tcPr>
          <w:p>
            <w:r>
              <w:rPr>
                <w:b/>
                <w:bCs/>
                <w:color w:val="FFFFFF"/>
                <w:sz w:val="20"/>
                <w:szCs w:val="20"/>
              </w:rPr>
              <w:t xml:space="preserve">Kind</w:t>
            </w:r>
          </w:p>
        </w:tc>
        <w:tc>
          <w:tcPr>
            <w:tcW w:type="dxa" w:w="3480"/>
            <w:shd w:fill="1B365D" w:val="clear"/>
            <w:tcMar>
              <w:top w:type="dxa" w:w="100"/>
              <w:left w:type="dxa" w:w="120"/>
              <w:bottom w:type="dxa" w:w="100"/>
              <w:right w:type="dxa" w:w="120"/>
            </w:tcMar>
          </w:tcPr>
          <w:p>
            <w:r>
              <w:rPr>
                <w:b/>
                <w:bCs/>
                <w:color w:val="FFFFFF"/>
                <w:sz w:val="20"/>
                <w:szCs w:val="20"/>
              </w:rPr>
              <w:t xml:space="preserve">What it asserts</w:t>
            </w:r>
          </w:p>
        </w:tc>
        <w:tc>
          <w:tcPr>
            <w:tcW w:type="dxa" w:w="3200"/>
            <w:shd w:fill="1B365D" w:val="clear"/>
            <w:tcMar>
              <w:top w:type="dxa" w:w="100"/>
              <w:left w:type="dxa" w:w="120"/>
              <w:bottom w:type="dxa" w:w="100"/>
              <w:right w:type="dxa" w:w="120"/>
            </w:tcMar>
          </w:tcPr>
          <w:p>
            <w:r>
              <w:rPr>
                <w:b/>
                <w:bCs/>
                <w:color w:val="FFFFFF"/>
                <w:sz w:val="20"/>
                <w:szCs w:val="20"/>
              </w:rPr>
              <w:t xml:space="preserve">What it is not</w:t>
            </w:r>
          </w:p>
        </w:tc>
      </w:tr>
      <w:tr>
        <w:tc>
          <w:tcPr>
            <w:tcW w:type="dxa" w:w="1500"/>
            <w:shd w:fill="FFFCF7" w:val="clear"/>
            <w:tcMar>
              <w:top w:type="dxa" w:w="100"/>
              <w:left w:type="dxa" w:w="120"/>
              <w:bottom w:type="dxa" w:w="100"/>
              <w:right w:type="dxa" w:w="120"/>
            </w:tcMar>
          </w:tcPr>
          <w:p>
            <w:pPr>
              <w:spacing w:after="60"/>
            </w:pPr>
            <w:r>
              <w:rPr>
                <w:sz w:val="20"/>
                <w:szCs w:val="20"/>
              </w:rPr>
              <w:t xml:space="preserve">PRA-A</w:t>
            </w:r>
          </w:p>
        </w:tc>
        <w:tc>
          <w:tcPr>
            <w:tcW w:type="dxa" w:w="1900"/>
            <w:shd w:fill="FFFCF7" w:val="clear"/>
            <w:tcMar>
              <w:top w:type="dxa" w:w="100"/>
              <w:left w:type="dxa" w:w="120"/>
              <w:bottom w:type="dxa" w:w="100"/>
              <w:right w:type="dxa" w:w="120"/>
            </w:tcMar>
          </w:tcPr>
          <w:p>
            <w:pPr>
              <w:spacing w:after="60"/>
            </w:pPr>
            <w:r>
              <w:rPr>
                <w:sz w:val="20"/>
                <w:szCs w:val="20"/>
              </w:rPr>
              <w:t xml:space="preserve">Licence pointer</w:t>
            </w:r>
          </w:p>
        </w:tc>
        <w:tc>
          <w:tcPr>
            <w:tcW w:type="dxa" w:w="3480"/>
            <w:shd w:fill="FFFCF7" w:val="clear"/>
            <w:tcMar>
              <w:top w:type="dxa" w:w="100"/>
              <w:left w:type="dxa" w:w="120"/>
              <w:bottom w:type="dxa" w:w="100"/>
              <w:right w:type="dxa" w:w="120"/>
            </w:tcMar>
          </w:tcPr>
          <w:p>
            <w:pPr>
              <w:spacing w:after="60"/>
            </w:pPr>
            <w:r>
              <w:rPr>
                <w:sz w:val="20"/>
                <w:szCs w:val="20"/>
              </w:rPr>
              <w:t xml:space="preserve">A rights holder or authorised representative granted the listed acts, components, territory, and term.</w:t>
            </w:r>
          </w:p>
        </w:tc>
        <w:tc>
          <w:tcPr>
            <w:tcW w:type="dxa" w:w="3200"/>
            <w:shd w:fill="FFFCF7" w:val="clear"/>
            <w:tcMar>
              <w:top w:type="dxa" w:w="100"/>
              <w:left w:type="dxa" w:w="120"/>
              <w:bottom w:type="dxa" w:w="100"/>
              <w:right w:type="dxa" w:w="120"/>
            </w:tcMar>
          </w:tcPr>
          <w:p>
            <w:pPr>
              <w:spacing w:after="60"/>
            </w:pPr>
            <w:r>
              <w:rPr>
                <w:sz w:val="20"/>
                <w:szCs w:val="20"/>
              </w:rPr>
              <w:t xml:space="preserve">Not a statute or public-domain finding.</w:t>
            </w:r>
          </w:p>
        </w:tc>
      </w:tr>
      <w:tr>
        <w:tc>
          <w:tcPr>
            <w:tcW w:type="dxa" w:w="1500"/>
            <w:shd w:fill="FFFCF7" w:val="clear"/>
            <w:tcMar>
              <w:top w:type="dxa" w:w="100"/>
              <w:left w:type="dxa" w:w="120"/>
              <w:bottom w:type="dxa" w:w="100"/>
              <w:right w:type="dxa" w:w="120"/>
            </w:tcMar>
          </w:tcPr>
          <w:p>
            <w:pPr>
              <w:spacing w:after="60"/>
            </w:pPr>
            <w:r>
              <w:rPr>
                <w:sz w:val="20"/>
                <w:szCs w:val="20"/>
              </w:rPr>
              <w:t xml:space="preserve">PRA-B</w:t>
            </w:r>
          </w:p>
        </w:tc>
        <w:tc>
          <w:tcPr>
            <w:tcW w:type="dxa" w:w="1900"/>
            <w:shd w:fill="FFFCF7" w:val="clear"/>
            <w:tcMar>
              <w:top w:type="dxa" w:w="100"/>
              <w:left w:type="dxa" w:w="120"/>
              <w:bottom w:type="dxa" w:w="100"/>
              <w:right w:type="dxa" w:w="120"/>
            </w:tcMar>
          </w:tcPr>
          <w:p>
            <w:pPr>
              <w:spacing w:after="60"/>
            </w:pPr>
            <w:r>
              <w:rPr>
                <w:sz w:val="20"/>
                <w:szCs w:val="20"/>
              </w:rPr>
              <w:t xml:space="preserve">Licence pointer</w:t>
            </w:r>
          </w:p>
        </w:tc>
        <w:tc>
          <w:tcPr>
            <w:tcW w:type="dxa" w:w="3480"/>
            <w:shd w:fill="FFFCF7" w:val="clear"/>
            <w:tcMar>
              <w:top w:type="dxa" w:w="100"/>
              <w:left w:type="dxa" w:w="120"/>
              <w:bottom w:type="dxa" w:w="100"/>
              <w:right w:type="dxa" w:w="120"/>
            </w:tcMar>
          </w:tcPr>
          <w:p>
            <w:pPr>
              <w:spacing w:after="60"/>
            </w:pPr>
            <w:r>
              <w:rPr>
                <w:sz w:val="20"/>
                <w:szCs w:val="20"/>
              </w:rPr>
              <w:t xml:space="preserve">A named authority, identified as competent under applicable national law, issued a territorial licence after the required process.</w:t>
            </w:r>
          </w:p>
        </w:tc>
        <w:tc>
          <w:tcPr>
            <w:tcW w:type="dxa" w:w="3200"/>
            <w:shd w:fill="FFFCF7" w:val="clear"/>
            <w:tcMar>
              <w:top w:type="dxa" w:w="100"/>
              <w:left w:type="dxa" w:w="120"/>
              <w:bottom w:type="dxa" w:w="100"/>
              <w:right w:type="dxa" w:w="120"/>
            </w:tcMar>
          </w:tcPr>
          <w:p>
            <w:pPr>
              <w:spacing w:after="60"/>
            </w:pPr>
            <w:r>
              <w:rPr>
                <w:sz w:val="20"/>
                <w:szCs w:val="20"/>
              </w:rPr>
              <w:t xml:space="preserve">Not worldwide and not a platform licence.</w:t>
            </w:r>
          </w:p>
        </w:tc>
      </w:tr>
      <w:tr>
        <w:tc>
          <w:tcPr>
            <w:tcW w:type="dxa" w:w="1500"/>
            <w:shd w:fill="FFFCF7" w:val="clear"/>
            <w:tcMar>
              <w:top w:type="dxa" w:w="100"/>
              <w:left w:type="dxa" w:w="120"/>
              <w:bottom w:type="dxa" w:w="100"/>
              <w:right w:type="dxa" w:w="120"/>
            </w:tcMar>
          </w:tcPr>
          <w:p>
            <w:pPr>
              <w:spacing w:after="60"/>
            </w:pPr>
            <w:r>
              <w:rPr>
                <w:sz w:val="20"/>
                <w:szCs w:val="20"/>
              </w:rPr>
              <w:t xml:space="preserve">PD-V</w:t>
            </w:r>
          </w:p>
        </w:tc>
        <w:tc>
          <w:tcPr>
            <w:tcW w:type="dxa" w:w="1900"/>
            <w:shd w:fill="FFFCF7" w:val="clear"/>
            <w:tcMar>
              <w:top w:type="dxa" w:w="100"/>
              <w:left w:type="dxa" w:w="120"/>
              <w:bottom w:type="dxa" w:w="100"/>
              <w:right w:type="dxa" w:w="120"/>
            </w:tcMar>
          </w:tcPr>
          <w:p>
            <w:pPr>
              <w:spacing w:after="60"/>
            </w:pPr>
            <w:r>
              <w:rPr>
                <w:sz w:val="20"/>
                <w:szCs w:val="20"/>
              </w:rPr>
              <w:t xml:space="preserve">Status statement (proposed)</w:t>
            </w:r>
          </w:p>
        </w:tc>
        <w:tc>
          <w:tcPr>
            <w:tcW w:type="dxa" w:w="3480"/>
            <w:shd w:fill="FFFCF7" w:val="clear"/>
            <w:tcMar>
              <w:top w:type="dxa" w:w="100"/>
              <w:left w:type="dxa" w:w="120"/>
              <w:bottom w:type="dxa" w:w="100"/>
              <w:right w:type="dxa" w:w="120"/>
            </w:tcMar>
          </w:tcPr>
          <w:p>
            <w:pPr>
              <w:spacing w:after="60"/>
            </w:pPr>
            <w:r>
              <w:rPr>
                <w:sz w:val="20"/>
                <w:szCs w:val="20"/>
              </w:rPr>
              <w:t xml:space="preserve">After a documented search and assessment, specified components are believed free of copyright restrictions in specified territories as of a stated date.</w:t>
            </w:r>
          </w:p>
        </w:tc>
        <w:tc>
          <w:tcPr>
            <w:tcW w:type="dxa" w:w="3200"/>
            <w:shd w:fill="FFFCF7" w:val="clear"/>
            <w:tcMar>
              <w:top w:type="dxa" w:w="100"/>
              <w:left w:type="dxa" w:w="120"/>
              <w:bottom w:type="dxa" w:w="100"/>
              <w:right w:type="dxa" w:w="120"/>
            </w:tcMar>
          </w:tcPr>
          <w:p>
            <w:pPr>
              <w:spacing w:after="60"/>
            </w:pPr>
            <w:r>
              <w:rPr>
                <w:sz w:val="20"/>
                <w:szCs w:val="20"/>
              </w:rPr>
              <w:t xml:space="preserve">Not CC0, not a licence, and not a legal determination; it does not cover new typesetting, notes, or cover by implication.</w:t>
            </w:r>
          </w:p>
        </w:tc>
      </w:tr>
      <w:tr>
        <w:tc>
          <w:tcPr>
            <w:tcW w:type="dxa" w:w="1500"/>
            <w:shd w:fill="FFFCF7" w:val="clear"/>
            <w:tcMar>
              <w:top w:type="dxa" w:w="100"/>
              <w:left w:type="dxa" w:w="120"/>
              <w:bottom w:type="dxa" w:w="100"/>
              <w:right w:type="dxa" w:w="120"/>
            </w:tcMar>
          </w:tcPr>
          <w:p>
            <w:pPr>
              <w:spacing w:after="60"/>
            </w:pPr>
            <w:r>
              <w:rPr>
                <w:sz w:val="20"/>
                <w:szCs w:val="20"/>
              </w:rPr>
              <w:t xml:space="preserve">COMP-X</w:t>
            </w:r>
          </w:p>
        </w:tc>
        <w:tc>
          <w:tcPr>
            <w:tcW w:type="dxa" w:w="1900"/>
            <w:shd w:fill="FFFCF7" w:val="clear"/>
            <w:tcMar>
              <w:top w:type="dxa" w:w="100"/>
              <w:left w:type="dxa" w:w="120"/>
              <w:bottom w:type="dxa" w:w="100"/>
              <w:right w:type="dxa" w:w="120"/>
            </w:tcMar>
          </w:tcPr>
          <w:p>
            <w:pPr>
              <w:spacing w:after="60"/>
            </w:pPr>
            <w:r>
              <w:rPr>
                <w:sz w:val="20"/>
                <w:szCs w:val="20"/>
              </w:rPr>
              <w:t xml:space="preserve">Status statement (proposed)</w:t>
            </w:r>
          </w:p>
        </w:tc>
        <w:tc>
          <w:tcPr>
            <w:tcW w:type="dxa" w:w="3480"/>
            <w:shd w:fill="FFFCF7" w:val="clear"/>
            <w:tcMar>
              <w:top w:type="dxa" w:w="100"/>
              <w:left w:type="dxa" w:w="120"/>
              <w:bottom w:type="dxa" w:w="100"/>
              <w:right w:type="dxa" w:w="120"/>
            </w:tcMar>
          </w:tcPr>
          <w:p>
            <w:pPr>
              <w:spacing w:after="60"/>
            </w:pPr>
            <w:r>
              <w:rPr>
                <w:sz w:val="20"/>
                <w:szCs w:val="20"/>
              </w:rPr>
              <w:t xml:space="preserve">Named components are outside the grant or outside the PD-V finding.</w:t>
            </w:r>
          </w:p>
        </w:tc>
        <w:tc>
          <w:tcPr>
            <w:tcW w:type="dxa" w:w="3200"/>
            <w:shd w:fill="FFFCF7" w:val="clear"/>
            <w:tcMar>
              <w:top w:type="dxa" w:w="100"/>
              <w:left w:type="dxa" w:w="120"/>
              <w:bottom w:type="dxa" w:w="100"/>
              <w:right w:type="dxa" w:w="120"/>
            </w:tcMar>
          </w:tcPr>
          <w:p>
            <w:pPr>
              <w:spacing w:after="60"/>
            </w:pPr>
            <w:r>
              <w:rPr>
                <w:sz w:val="20"/>
                <w:szCs w:val="20"/>
              </w:rPr>
              <w:t xml:space="preserve">Not a finding that those components are free of rights.</w:t>
            </w:r>
          </w:p>
        </w:tc>
      </w:tr>
    </w:tbl>
    <w:p>
      <w:pPr>
        <w:spacing w:after="160"/>
      </w:pPr>
      <w:r>
        <w:t xml:space="preserve">A verso may stack them: PRA-A · COMP-X (estate cleared the text; plates out); PD-V (LK, IN) · COMP-X (1891 text assessed as likely free of copyright restrictions in those territories; 1982 preface and cover excluded); PRA-B (LK) · COMP-X (national licence, text only). The letters “PRA” with no suffix are not a valid mark.</w:t>
      </w:r>
    </w:p>
    <w:p>
      <w:pPr>
        <w:pStyle w:val="Heading2"/>
        <w:spacing w:after="150" w:before="300"/>
      </w:pPr>
      <w:r>
        <w:t xml:space="preserve">1.1 Formal definitions</w:t>
      </w:r>
    </w:p>
    <w:p>
      <w:pPr>
        <w:spacing w:after="160"/>
      </w:pPr>
      <w:r>
        <w:rPr>
          <w:b/>
          <w:bCs/>
        </w:rPr>
        <w:t xml:space="preserve">PD-V is a proposed status statement, not a licence or certification.</w:t>
      </w:r>
    </w:p>
    <w:p>
      <w:pPr>
        <w:spacing w:after="160"/>
      </w:pPr>
      <w:r>
        <w:t xml:space="preserve">It records that, after a documented search and assessment, specified components are believed to be free of copyright restrictions in specified territories as of a stated date. It does not create permission, determine law conclusively, or address every non-copyright restriction; moral rights, trademark, privacy, contractual, cultural, or other limits may still apply.</w:t>
      </w:r>
    </w:p>
    <w:p>
      <w:pPr>
        <w:spacing w:after="160"/>
      </w:pPr>
      <w:r>
        <w:rPr>
          <w:b/>
          <w:bCs/>
        </w:rPr>
        <w:t xml:space="preserve">COMP-X is a component-exclusion statement.</w:t>
      </w:r>
    </w:p>
    <w:p>
      <w:pPr>
        <w:spacing w:after="160"/>
      </w:pPr>
      <w:r>
        <w:t xml:space="preserve">It identifies material that is not covered by the relevant permission or status finding. It does not state that excluded material is free of rights; it states only that the material is outside the claimed scope. Each COMP-X entry must specify the component; creator or rights claimant where known; reason for exclusion; whether it is omitted, separately licensed, or retained under another basis; relevant territory; and relevant term.</w:t>
      </w:r>
    </w:p>
    <w:p>
      <w:pPr>
        <w:pStyle w:val="Heading2"/>
        <w:spacing w:after="150" w:before="300"/>
      </w:pPr>
      <w:r>
        <w:t xml:space="preserve">1.2 Canonical evidence and review fields</w:t>
      </w:r>
    </w:p>
    <w:p>
      <w:pPr>
        <w:spacing w:after="160"/>
      </w:pPr>
      <w:r>
        <w:t xml:space="preserve">This addendum uses the canonical fields in Paper I. It does not create a separate evidence scale. PRA records distinguish evidence source, review status, authority status, challenge status, and current record state because these answer different questions and are not interchangeable.</w:t>
      </w:r>
    </w:p>
    <w:p>
      <w:pPr>
        <w:spacing w:after="160"/>
      </w:pPr>
      <w:r>
        <w:rPr>
          <w:b/>
          <w:bCs/>
        </w:rPr>
        <w:t xml:space="preserve">Evidence source identifies what supports the claim:</w:t>
      </w:r>
    </w:p>
    <w:p>
      <w:pPr>
        <w:pStyle w:val="ListParagraph"/>
        <w:numPr>
          <w:ilvl w:val="0"/>
          <w:numId w:val="1"/>
        </w:numPr>
        <w:spacing w:after="80"/>
      </w:pPr>
      <w:r>
        <w:t xml:space="preserve">Rights-holder declaration.</w:t>
      </w:r>
    </w:p>
    <w:p>
      <w:pPr>
        <w:pStyle w:val="ListParagraph"/>
        <w:numPr>
          <w:ilvl w:val="0"/>
          <w:numId w:val="1"/>
        </w:numPr>
        <w:spacing w:after="80"/>
      </w:pPr>
      <w:r>
        <w:t xml:space="preserve">Publisher or institutional declaration.</w:t>
      </w:r>
    </w:p>
    <w:p>
      <w:pPr>
        <w:pStyle w:val="ListParagraph"/>
        <w:numPr>
          <w:ilvl w:val="0"/>
          <w:numId w:val="1"/>
        </w:numPr>
        <w:spacing w:after="80"/>
      </w:pPr>
      <w:r>
        <w:t xml:space="preserve">Documented diligent-search file.</w:t>
      </w:r>
    </w:p>
    <w:p>
      <w:pPr>
        <w:pStyle w:val="ListParagraph"/>
        <w:numPr>
          <w:ilvl w:val="0"/>
          <w:numId w:val="1"/>
        </w:numPr>
        <w:spacing w:after="80"/>
      </w:pPr>
      <w:r>
        <w:t xml:space="preserve">Government or statutory record.</w:t>
      </w:r>
    </w:p>
    <w:p>
      <w:pPr>
        <w:pStyle w:val="ListParagraph"/>
        <w:numPr>
          <w:ilvl w:val="0"/>
          <w:numId w:val="1"/>
        </w:numPr>
        <w:spacing w:after="80"/>
      </w:pPr>
      <w:r>
        <w:t xml:space="preserve">Court or administrative decision.</w:t>
      </w:r>
    </w:p>
    <w:p>
      <w:pPr>
        <w:pStyle w:val="ListParagraph"/>
        <w:numPr>
          <w:ilvl w:val="0"/>
          <w:numId w:val="1"/>
        </w:numPr>
        <w:spacing w:after="80"/>
      </w:pPr>
      <w:r>
        <w:t xml:space="preserve">Licence, deed, or written permission.</w:t>
      </w:r>
    </w:p>
    <w:p>
      <w:pPr>
        <w:pStyle w:val="ListParagraph"/>
        <w:numPr>
          <w:ilvl w:val="0"/>
          <w:numId w:val="1"/>
        </w:numPr>
        <w:spacing w:after="80"/>
      </w:pPr>
      <w:r>
        <w:t xml:space="preserve">Independent third-party review.</w:t>
      </w:r>
    </w:p>
    <w:p>
      <w:pPr>
        <w:pStyle w:val="ListParagraph"/>
        <w:numPr>
          <w:ilvl w:val="0"/>
          <w:numId w:val="1"/>
        </w:numPr>
        <w:spacing w:after="80"/>
      </w:pPr>
      <w:r>
        <w:t xml:space="preserve">Other identified source.</w:t>
      </w:r>
    </w:p>
    <w:p>
      <w:pPr>
        <w:spacing w:after="160"/>
      </w:pPr>
      <w:r>
        <w:rPr>
          <w:b/>
          <w:bCs/>
        </w:rPr>
        <w:t xml:space="preserve">Review status identifies who examined the record:</w:t>
      </w:r>
    </w:p>
    <w:p>
      <w:pPr>
        <w:pStyle w:val="ListParagraph"/>
        <w:numPr>
          <w:ilvl w:val="0"/>
          <w:numId w:val="1"/>
        </w:numPr>
        <w:spacing w:after="80"/>
      </w:pPr>
      <w:r>
        <w:t xml:space="preserve">Self-declared.</w:t>
      </w:r>
    </w:p>
    <w:p>
      <w:pPr>
        <w:pStyle w:val="ListParagraph"/>
        <w:numPr>
          <w:ilvl w:val="0"/>
          <w:numId w:val="1"/>
        </w:numPr>
        <w:spacing w:after="80"/>
      </w:pPr>
      <w:r>
        <w:t xml:space="preserve">Institutionally reviewed.</w:t>
      </w:r>
    </w:p>
    <w:p>
      <w:pPr>
        <w:pStyle w:val="ListParagraph"/>
        <w:numPr>
          <w:ilvl w:val="0"/>
          <w:numId w:val="1"/>
        </w:numPr>
        <w:spacing w:after="80"/>
      </w:pPr>
      <w:r>
        <w:t xml:space="preserve">Independently reviewed.</w:t>
      </w:r>
    </w:p>
    <w:p>
      <w:pPr>
        <w:pStyle w:val="ListParagraph"/>
        <w:numPr>
          <w:ilvl w:val="0"/>
          <w:numId w:val="1"/>
        </w:numPr>
        <w:spacing w:after="80"/>
      </w:pPr>
      <w:r>
        <w:t xml:space="preserve">Authority-reviewed, where a named authority has performed or adopted the review.</w:t>
      </w:r>
    </w:p>
    <w:p>
      <w:pPr>
        <w:spacing w:after="160"/>
      </w:pPr>
      <w:r>
        <w:rPr>
          <w:b/>
          <w:bCs/>
        </w:rPr>
        <w:t xml:space="preserve">Authority status identifies the relationship to an official body:</w:t>
      </w:r>
    </w:p>
    <w:p>
      <w:pPr>
        <w:pStyle w:val="ListParagraph"/>
        <w:numPr>
          <w:ilvl w:val="0"/>
          <w:numId w:val="1"/>
        </w:numPr>
        <w:spacing w:after="80"/>
      </w:pPr>
      <w:r>
        <w:t xml:space="preserve">No authority claimed.</w:t>
      </w:r>
    </w:p>
    <w:p>
      <w:pPr>
        <w:pStyle w:val="ListParagraph"/>
        <w:numPr>
          <w:ilvl w:val="0"/>
          <w:numId w:val="1"/>
        </w:numPr>
        <w:spacing w:after="80"/>
      </w:pPr>
      <w:r>
        <w:t xml:space="preserve">Linked to an institutional record.</w:t>
      </w:r>
    </w:p>
    <w:p>
      <w:pPr>
        <w:pStyle w:val="ListParagraph"/>
        <w:numPr>
          <w:ilvl w:val="0"/>
          <w:numId w:val="1"/>
        </w:numPr>
        <w:spacing w:after="80"/>
      </w:pPr>
      <w:r>
        <w:t xml:space="preserve">Authority-recorded.</w:t>
      </w:r>
    </w:p>
    <w:p>
      <w:pPr>
        <w:pStyle w:val="ListParagraph"/>
        <w:numPr>
          <w:ilvl w:val="0"/>
          <w:numId w:val="1"/>
        </w:numPr>
        <w:spacing w:after="80"/>
      </w:pPr>
      <w:r>
        <w:t xml:space="preserve">Authority-issued, where the authority itself issued the underlying licence or decision.</w:t>
      </w:r>
    </w:p>
    <w:p>
      <w:pPr>
        <w:spacing w:after="160"/>
      </w:pPr>
      <w:r>
        <w:rPr>
          <w:b/>
          <w:bCs/>
        </w:rPr>
        <w:t xml:space="preserve">Challenge status identifies dispute position:</w:t>
      </w:r>
    </w:p>
    <w:p>
      <w:pPr>
        <w:pStyle w:val="ListParagraph"/>
        <w:numPr>
          <w:ilvl w:val="0"/>
          <w:numId w:val="1"/>
        </w:numPr>
        <w:spacing w:after="80"/>
      </w:pPr>
      <w:r>
        <w:t xml:space="preserve">Unchallenged.</w:t>
      </w:r>
    </w:p>
    <w:p>
      <w:pPr>
        <w:pStyle w:val="ListParagraph"/>
        <w:numPr>
          <w:ilvl w:val="0"/>
          <w:numId w:val="1"/>
        </w:numPr>
        <w:spacing w:after="80"/>
      </w:pPr>
      <w:r>
        <w:t xml:space="preserve">Challenged.</w:t>
      </w:r>
    </w:p>
    <w:p>
      <w:pPr>
        <w:pStyle w:val="ListParagraph"/>
        <w:numPr>
          <w:ilvl w:val="0"/>
          <w:numId w:val="1"/>
        </w:numPr>
        <w:spacing w:after="80"/>
      </w:pPr>
      <w:r>
        <w:t xml:space="preserve">Under review.</w:t>
      </w:r>
    </w:p>
    <w:p>
      <w:pPr>
        <w:pStyle w:val="ListParagraph"/>
        <w:numPr>
          <w:ilvl w:val="0"/>
          <w:numId w:val="1"/>
        </w:numPr>
        <w:spacing w:after="80"/>
      </w:pPr>
      <w:r>
        <w:t xml:space="preserve">Suspended.</w:t>
      </w:r>
    </w:p>
    <w:p>
      <w:pPr>
        <w:pStyle w:val="ListParagraph"/>
        <w:numPr>
          <w:ilvl w:val="0"/>
          <w:numId w:val="1"/>
        </w:numPr>
        <w:spacing w:after="80"/>
      </w:pPr>
      <w:r>
        <w:t xml:space="preserve">Resolved.</w:t>
      </w:r>
    </w:p>
    <w:p>
      <w:pPr>
        <w:pStyle w:val="ListParagraph"/>
        <w:numPr>
          <w:ilvl w:val="0"/>
          <w:numId w:val="1"/>
        </w:numPr>
        <w:spacing w:after="80"/>
      </w:pPr>
      <w:r>
        <w:t xml:space="preserve">Invalidated.</w:t>
      </w:r>
    </w:p>
    <w:p>
      <w:pPr>
        <w:spacing w:after="160"/>
      </w:pPr>
      <w:r>
        <w:t xml:space="preserve">A positive PD-V mark requires a documented diligent-search file or an equivalent public-domain assessment that identifies the applicable legal rule, territories, covered components, assessor, sources checked, evidence, and unresolved issues. A bare rights-holder, publisher, or institutional declaration is insufficient by itself. The resolver must display the underlying fields rather than reduce them to a single legal-confidence score.</w:t>
      </w:r>
    </w:p>
    <w:p>
      <w:pPr>
        <w:pStyle w:val="Heading2"/>
        <w:spacing w:after="150" w:before="300"/>
      </w:pPr>
      <w:r>
        <w:t xml:space="preserve">1.3 Minimum PD-V record</w:t>
      </w:r>
    </w:p>
    <w:p>
      <w:pPr>
        <w:spacing w:after="160"/>
      </w:pPr>
      <w:r>
        <w:t xml:space="preserve">A PD-V record is not valid merely because it contains a date and territory. The following fields are mandatory. A record missing any legal-basis or component field must not display a positive PD-V mark:</w:t>
      </w:r>
    </w:p>
    <w:p>
      <w:pPr>
        <w:pStyle w:val="ListParagraph"/>
        <w:numPr>
          <w:ilvl w:val="0"/>
          <w:numId w:val="1"/>
        </w:numPr>
        <w:spacing w:after="80"/>
      </w:pPr>
      <w:r>
        <w:t xml:space="preserve">Stable PRA-ID.</w:t>
      </w:r>
    </w:p>
    <w:p>
      <w:pPr>
        <w:pStyle w:val="ListParagraph"/>
        <w:numPr>
          <w:ilvl w:val="0"/>
          <w:numId w:val="1"/>
        </w:numPr>
        <w:spacing w:after="80"/>
      </w:pPr>
      <w:r>
        <w:t xml:space="preserve">Work title and creator.</w:t>
      </w:r>
    </w:p>
    <w:p>
      <w:pPr>
        <w:pStyle w:val="ListParagraph"/>
        <w:numPr>
          <w:ilvl w:val="0"/>
          <w:numId w:val="1"/>
        </w:numPr>
        <w:spacing w:after="80"/>
      </w:pPr>
      <w:r>
        <w:t xml:space="preserve">Edition and source copy.</w:t>
      </w:r>
    </w:p>
    <w:p>
      <w:pPr>
        <w:pStyle w:val="ListParagraph"/>
        <w:numPr>
          <w:ilvl w:val="0"/>
          <w:numId w:val="1"/>
        </w:numPr>
        <w:spacing w:after="80"/>
      </w:pPr>
      <w:r>
        <w:t xml:space="preserve">Publication details.</w:t>
      </w:r>
    </w:p>
    <w:p>
      <w:pPr>
        <w:pStyle w:val="ListParagraph"/>
        <w:numPr>
          <w:ilvl w:val="0"/>
          <w:numId w:val="1"/>
        </w:numPr>
        <w:spacing w:after="80"/>
      </w:pPr>
      <w:r>
        <w:t xml:space="preserve">Creator's death date, where relevant to the applicable term.</w:t>
      </w:r>
    </w:p>
    <w:p>
      <w:pPr>
        <w:pStyle w:val="ListParagraph"/>
        <w:numPr>
          <w:ilvl w:val="0"/>
          <w:numId w:val="1"/>
        </w:numPr>
        <w:spacing w:after="80"/>
      </w:pPr>
      <w:r>
        <w:t xml:space="preserve">Components covered and components excluded.</w:t>
      </w:r>
    </w:p>
    <w:p>
      <w:pPr>
        <w:pStyle w:val="ListParagraph"/>
        <w:numPr>
          <w:ilvl w:val="0"/>
          <w:numId w:val="1"/>
        </w:numPr>
        <w:spacing w:after="80"/>
      </w:pPr>
      <w:r>
        <w:t xml:space="preserve">Territories.</w:t>
      </w:r>
    </w:p>
    <w:p>
      <w:pPr>
        <w:pStyle w:val="ListParagraph"/>
        <w:numPr>
          <w:ilvl w:val="0"/>
          <w:numId w:val="1"/>
        </w:numPr>
        <w:spacing w:after="80"/>
      </w:pPr>
      <w:r>
        <w:t xml:space="preserve">Applicable legal rule.</w:t>
      </w:r>
    </w:p>
    <w:p>
      <w:pPr>
        <w:pStyle w:val="ListParagraph"/>
        <w:numPr>
          <w:ilvl w:val="0"/>
          <w:numId w:val="1"/>
        </w:numPr>
        <w:spacing w:after="80"/>
      </w:pPr>
      <w:r>
        <w:t xml:space="preserve">Searcher and reviewer, if different.</w:t>
      </w:r>
    </w:p>
    <w:p>
      <w:pPr>
        <w:pStyle w:val="ListParagraph"/>
        <w:numPr>
          <w:ilvl w:val="0"/>
          <w:numId w:val="1"/>
        </w:numPr>
        <w:spacing w:after="80"/>
      </w:pPr>
      <w:r>
        <w:t xml:space="preserve">Search date and sources checked.</w:t>
      </w:r>
    </w:p>
    <w:p>
      <w:pPr>
        <w:pStyle w:val="ListParagraph"/>
        <w:numPr>
          <w:ilvl w:val="0"/>
          <w:numId w:val="1"/>
        </w:numPr>
        <w:spacing w:after="80"/>
      </w:pPr>
      <w:r>
        <w:t xml:space="preserve">Evidence source.</w:t>
      </w:r>
    </w:p>
    <w:p>
      <w:pPr>
        <w:pStyle w:val="ListParagraph"/>
        <w:numPr>
          <w:ilvl w:val="0"/>
          <w:numId w:val="1"/>
        </w:numPr>
        <w:spacing w:after="80"/>
      </w:pPr>
      <w:r>
        <w:t xml:space="preserve">Review status and authority status.</w:t>
      </w:r>
    </w:p>
    <w:p>
      <w:pPr>
        <w:pStyle w:val="ListParagraph"/>
        <w:numPr>
          <w:ilvl w:val="0"/>
          <w:numId w:val="1"/>
        </w:numPr>
        <w:spacing w:after="80"/>
      </w:pPr>
      <w:r>
        <w:t xml:space="preserve">Unresolved issues.</w:t>
      </w:r>
    </w:p>
    <w:p>
      <w:pPr>
        <w:pStyle w:val="ListParagraph"/>
        <w:numPr>
          <w:ilvl w:val="0"/>
          <w:numId w:val="1"/>
        </w:numPr>
        <w:spacing w:after="80"/>
      </w:pPr>
      <w:r>
        <w:t xml:space="preserve">Current record state and status history.</w:t>
      </w:r>
    </w:p>
    <w:p>
      <w:pPr>
        <w:pStyle w:val="ListParagraph"/>
        <w:numPr>
          <w:ilvl w:val="0"/>
          <w:numId w:val="1"/>
        </w:numPr>
        <w:spacing w:after="80"/>
      </w:pPr>
      <w:r>
        <w:t xml:space="preserve">Challenge route.</w:t>
      </w:r>
    </w:p>
    <w:p>
      <w:pPr>
        <w:pStyle w:val="ListParagraph"/>
        <w:numPr>
          <w:ilvl w:val="0"/>
          <w:numId w:val="1"/>
        </w:numPr>
        <w:spacing w:after="80"/>
      </w:pPr>
      <w:r>
        <w:t xml:space="preserve">Responsible recording node and last review date.</w:t>
      </w:r>
    </w:p>
    <w:p>
      <w:pPr>
        <w:pStyle w:val="Heading2"/>
        <w:spacing w:after="150" w:before="300"/>
      </w:pPr>
      <w:r>
        <w:t xml:space="preserve">1.4 Challenge protocol</w:t>
      </w:r>
    </w:p>
    <w:p>
      <w:pPr>
        <w:spacing w:after="160"/>
      </w:pPr>
      <w:r>
        <w:t xml:space="preserve">A challenge does not silently erase the original record. It creates a new event in the record's history, and the original record remains visible throughout.</w:t>
      </w:r>
    </w:p>
    <w:p>
      <w:pPr>
        <w:spacing w:after="80"/>
      </w:pPr>
      <w:r>
        <w:t xml:space="preserve">1. A person submits a challenge with reasons and supporting material.</w:t>
      </w:r>
    </w:p>
    <w:p>
      <w:pPr>
        <w:spacing w:after="80"/>
      </w:pPr>
      <w:r>
        <w:t xml:space="preserve">2. The node assigns a challenge ID and publishes the date.</w:t>
      </w:r>
    </w:p>
    <w:p>
      <w:pPr>
        <w:spacing w:after="80"/>
      </w:pPr>
      <w:r>
        <w:t xml:space="preserve">3. The record's state changes to Challenged, Under review, or Suspended according to the challenge rule; the original record remains visible.</w:t>
      </w:r>
    </w:p>
    <w:p>
      <w:pPr>
        <w:spacing w:after="80"/>
      </w:pPr>
      <w:r>
        <w:t xml:space="preserve">4. The node sets a review deadline or explains why one cannot yet be set.</w:t>
      </w:r>
    </w:p>
    <w:p>
      <w:pPr>
        <w:spacing w:after="80"/>
      </w:pPr>
      <w:r>
        <w:t xml:space="preserve">5. The challenge outcome is recorded as an event.</w:t>
      </w:r>
    </w:p>
    <w:p>
      <w:pPr>
        <w:spacing w:after="80"/>
      </w:pPr>
      <w:r>
        <w:t xml:space="preserve">6. The record is reactivated to Active, amended through an Amendment event, superseded, revoked, withdrawn, expired, or invalidated as appropriate.</w:t>
      </w:r>
    </w:p>
    <w:p>
      <w:pPr>
        <w:spacing w:after="80"/>
      </w:pPr>
      <w:r>
        <w:t xml:space="preserve">7. The printed mark is treated according to the current record state.</w:t>
      </w:r>
    </w:p>
    <w:p>
      <w:pPr>
        <w:spacing w:after="160"/>
      </w:pPr>
      <w:r>
        <w:t xml:space="preserve">Whether distribution should pause depends on what is challenged. For PRA-A or PRA-B, a pause may be appropriate if the challenge concerns the underlying grant or authority. For PD-V, the record must state whether the challenge affects the whole finding or only one territory or component.</w:t>
      </w:r>
    </w:p>
    <w:p>
      <w:pPr>
        <w:pStyle w:val="Heading2"/>
        <w:spacing w:after="150" w:before="300"/>
      </w:pPr>
      <w:r>
        <w:t xml:space="preserve">1.5 Conformance and authority categories</w:t>
      </w:r>
    </w:p>
    <w:p>
      <w:pPr>
        <w:spacing w:after="160"/>
      </w:pPr>
      <w:r>
        <w:t xml:space="preserve">Implementation conformance and record authority are separate dimensions.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6880"/>
      </w:tblGrid>
      <w:tr>
        <w:trPr>
          <w:tblHeader/>
        </w:trPr>
        <w:tc>
          <w:tcPr>
            <w:tcW w:type="dxa" w:w="3200"/>
            <w:shd w:fill="1B365D" w:val="clear"/>
            <w:tcMar>
              <w:top w:type="dxa" w:w="100"/>
              <w:left w:type="dxa" w:w="120"/>
              <w:bottom w:type="dxa" w:w="100"/>
              <w:right w:type="dxa" w:w="120"/>
            </w:tcMar>
          </w:tcPr>
          <w:p>
            <w:r>
              <w:rPr>
                <w:b/>
                <w:bCs/>
                <w:color w:val="FFFFFF"/>
                <w:sz w:val="20"/>
                <w:szCs w:val="20"/>
              </w:rPr>
              <w:t xml:space="preserve">Implementation conformance</w:t>
            </w:r>
          </w:p>
        </w:tc>
        <w:tc>
          <w:tcPr>
            <w:tcW w:type="dxa" w:w="6880"/>
            <w:shd w:fill="1B365D" w:val="clear"/>
            <w:tcMar>
              <w:top w:type="dxa" w:w="100"/>
              <w:left w:type="dxa" w:w="120"/>
              <w:bottom w:type="dxa" w:w="100"/>
              <w:right w:type="dxa" w:w="120"/>
            </w:tcMar>
          </w:tcPr>
          <w:p>
            <w:r>
              <w:rPr>
                <w:b/>
                <w:bCs/>
                <w:color w:val="FFFFFF"/>
                <w:sz w:val="20"/>
                <w:szCs w:val="20"/>
              </w:rPr>
              <w:t xml:space="preserve">Meaning</w:t>
            </w:r>
          </w:p>
        </w:tc>
      </w:tr>
      <w:tr>
        <w:tc>
          <w:tcPr>
            <w:tcW w:type="dxa" w:w="3200"/>
            <w:shd w:fill="FFFCF7" w:val="clear"/>
            <w:tcMar>
              <w:top w:type="dxa" w:w="100"/>
              <w:left w:type="dxa" w:w="120"/>
              <w:bottom w:type="dxa" w:w="100"/>
              <w:right w:type="dxa" w:w="120"/>
            </w:tcMar>
          </w:tcPr>
          <w:p>
            <w:pPr>
              <w:spacing w:after="60"/>
            </w:pPr>
            <w:r>
              <w:rPr>
                <w:sz w:val="20"/>
                <w:szCs w:val="20"/>
              </w:rPr>
              <w:t xml:space="preserve">PRA-compatible</w:t>
            </w:r>
          </w:p>
        </w:tc>
        <w:tc>
          <w:tcPr>
            <w:tcW w:type="dxa" w:w="6880"/>
            <w:shd w:fill="FFFCF7" w:val="clear"/>
            <w:tcMar>
              <w:top w:type="dxa" w:w="100"/>
              <w:left w:type="dxa" w:w="120"/>
              <w:bottom w:type="dxa" w:w="100"/>
              <w:right w:type="dxa" w:w="120"/>
            </w:tcMar>
          </w:tcPr>
          <w:p>
            <w:pPr>
              <w:spacing w:after="60"/>
            </w:pPr>
            <w:r>
              <w:rPr>
                <w:sz w:val="20"/>
                <w:szCs w:val="20"/>
              </w:rPr>
              <w:t xml:space="preserve">Uses one or more PRA concepts without meeting the full specification.</w:t>
            </w:r>
          </w:p>
        </w:tc>
      </w:tr>
      <w:tr>
        <w:tc>
          <w:tcPr>
            <w:tcW w:type="dxa" w:w="3200"/>
            <w:shd w:fill="FFFCF7" w:val="clear"/>
            <w:tcMar>
              <w:top w:type="dxa" w:w="100"/>
              <w:left w:type="dxa" w:w="120"/>
              <w:bottom w:type="dxa" w:w="100"/>
              <w:right w:type="dxa" w:w="120"/>
            </w:tcMar>
          </w:tcPr>
          <w:p>
            <w:pPr>
              <w:spacing w:after="60"/>
            </w:pPr>
            <w:r>
              <w:rPr>
                <w:sz w:val="20"/>
                <w:szCs w:val="20"/>
              </w:rPr>
              <w:t xml:space="preserve">PRA-conformant</w:t>
            </w:r>
          </w:p>
        </w:tc>
        <w:tc>
          <w:tcPr>
            <w:tcW w:type="dxa" w:w="6880"/>
            <w:shd w:fill="FFFCF7" w:val="clear"/>
            <w:tcMar>
              <w:top w:type="dxa" w:w="100"/>
              <w:left w:type="dxa" w:w="120"/>
              <w:bottom w:type="dxa" w:w="100"/>
              <w:right w:type="dxa" w:w="120"/>
            </w:tcMar>
          </w:tcPr>
          <w:p>
            <w:pPr>
              <w:spacing w:after="60"/>
            </w:pPr>
            <w:r>
              <w:rPr>
                <w:sz w:val="20"/>
                <w:szCs w:val="20"/>
              </w:rPr>
              <w:t xml:space="preserve">Meets the published minimum fields, identifier rules, human- and machine-readable representations, status-history requirements, correction procedure, and challenge mechanism.</w:t>
            </w:r>
          </w:p>
        </w:tc>
      </w:tr>
      <w:tr>
        <w:tc>
          <w:tcPr>
            <w:tcW w:type="dxa" w:w="3200"/>
            <w:shd w:fill="FFFCF7" w:val="clear"/>
            <w:tcMar>
              <w:top w:type="dxa" w:w="100"/>
              <w:left w:type="dxa" w:w="120"/>
              <w:bottom w:type="dxa" w:w="100"/>
              <w:right w:type="dxa" w:w="120"/>
            </w:tcMar>
          </w:tcPr>
          <w:p>
            <w:pPr>
              <w:spacing w:after="60"/>
            </w:pPr>
            <w:r>
              <w:rPr>
                <w:sz w:val="20"/>
                <w:szCs w:val="20"/>
              </w:rPr>
              <w:t xml:space="preserve">PRA-reviewed</w:t>
            </w:r>
          </w:p>
        </w:tc>
        <w:tc>
          <w:tcPr>
            <w:tcW w:type="dxa" w:w="6880"/>
            <w:shd w:fill="FFFCF7" w:val="clear"/>
            <w:tcMar>
              <w:top w:type="dxa" w:w="100"/>
              <w:left w:type="dxa" w:w="120"/>
              <w:bottom w:type="dxa" w:w="100"/>
              <w:right w:type="dxa" w:w="120"/>
            </w:tcMar>
          </w:tcPr>
          <w:p>
            <w:pPr>
              <w:spacing w:after="60"/>
            </w:pPr>
            <w:r>
              <w:rPr>
                <w:sz w:val="20"/>
                <w:szCs w:val="20"/>
              </w:rPr>
              <w:t xml:space="preserve">Independently assessed against the specification by a named reviewer or institution.</w:t>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6880"/>
      </w:tblGrid>
      <w:tr>
        <w:trPr>
          <w:tblHeader/>
        </w:trPr>
        <w:tc>
          <w:tcPr>
            <w:tcW w:type="dxa" w:w="3200"/>
            <w:shd w:fill="1B365D" w:val="clear"/>
            <w:tcMar>
              <w:top w:type="dxa" w:w="100"/>
              <w:left w:type="dxa" w:w="120"/>
              <w:bottom w:type="dxa" w:w="100"/>
              <w:right w:type="dxa" w:w="120"/>
            </w:tcMar>
          </w:tcPr>
          <w:p>
            <w:r>
              <w:rPr>
                <w:b/>
                <w:bCs/>
                <w:color w:val="FFFFFF"/>
                <w:sz w:val="20"/>
                <w:szCs w:val="20"/>
              </w:rPr>
              <w:t xml:space="preserve">Record authority status</w:t>
            </w:r>
          </w:p>
        </w:tc>
        <w:tc>
          <w:tcPr>
            <w:tcW w:type="dxa" w:w="6880"/>
            <w:shd w:fill="1B365D" w:val="clear"/>
            <w:tcMar>
              <w:top w:type="dxa" w:w="100"/>
              <w:left w:type="dxa" w:w="120"/>
              <w:bottom w:type="dxa" w:w="100"/>
              <w:right w:type="dxa" w:w="120"/>
            </w:tcMar>
          </w:tcPr>
          <w:p>
            <w:r>
              <w:rPr>
                <w:b/>
                <w:bCs/>
                <w:color w:val="FFFFFF"/>
                <w:sz w:val="20"/>
                <w:szCs w:val="20"/>
              </w:rPr>
              <w:t xml:space="preserve">Meaning</w:t>
            </w:r>
          </w:p>
        </w:tc>
      </w:tr>
      <w:tr>
        <w:tc>
          <w:tcPr>
            <w:tcW w:type="dxa" w:w="3200"/>
            <w:shd w:fill="FFFCF7" w:val="clear"/>
            <w:tcMar>
              <w:top w:type="dxa" w:w="100"/>
              <w:left w:type="dxa" w:w="120"/>
              <w:bottom w:type="dxa" w:w="100"/>
              <w:right w:type="dxa" w:w="120"/>
            </w:tcMar>
          </w:tcPr>
          <w:p>
            <w:pPr>
              <w:spacing w:after="60"/>
            </w:pPr>
            <w:r>
              <w:rPr>
                <w:sz w:val="20"/>
                <w:szCs w:val="20"/>
              </w:rPr>
              <w:t xml:space="preserve">Self-declared</w:t>
            </w:r>
          </w:p>
        </w:tc>
        <w:tc>
          <w:tcPr>
            <w:tcW w:type="dxa" w:w="6880"/>
            <w:shd w:fill="FFFCF7" w:val="clear"/>
            <w:tcMar>
              <w:top w:type="dxa" w:w="100"/>
              <w:left w:type="dxa" w:w="120"/>
              <w:bottom w:type="dxa" w:w="100"/>
              <w:right w:type="dxa" w:w="120"/>
            </w:tcMar>
          </w:tcPr>
          <w:p>
            <w:pPr>
              <w:spacing w:after="60"/>
            </w:pPr>
            <w:r>
              <w:rPr>
                <w:sz w:val="20"/>
                <w:szCs w:val="20"/>
              </w:rPr>
              <w:t xml:space="preserve">Published by the recording party without independent institutional review.</w:t>
            </w:r>
          </w:p>
        </w:tc>
      </w:tr>
      <w:tr>
        <w:tc>
          <w:tcPr>
            <w:tcW w:type="dxa" w:w="3200"/>
            <w:shd w:fill="FFFCF7" w:val="clear"/>
            <w:tcMar>
              <w:top w:type="dxa" w:w="100"/>
              <w:left w:type="dxa" w:w="120"/>
              <w:bottom w:type="dxa" w:w="100"/>
              <w:right w:type="dxa" w:w="120"/>
            </w:tcMar>
          </w:tcPr>
          <w:p>
            <w:pPr>
              <w:spacing w:after="60"/>
            </w:pPr>
            <w:r>
              <w:rPr>
                <w:sz w:val="20"/>
                <w:szCs w:val="20"/>
              </w:rPr>
              <w:t xml:space="preserve">Institutionally reviewed</w:t>
            </w:r>
          </w:p>
        </w:tc>
        <w:tc>
          <w:tcPr>
            <w:tcW w:type="dxa" w:w="6880"/>
            <w:shd w:fill="FFFCF7" w:val="clear"/>
            <w:tcMar>
              <w:top w:type="dxa" w:w="100"/>
              <w:left w:type="dxa" w:w="120"/>
              <w:bottom w:type="dxa" w:w="100"/>
              <w:right w:type="dxa" w:w="120"/>
            </w:tcMar>
          </w:tcPr>
          <w:p>
            <w:pPr>
              <w:spacing w:after="60"/>
            </w:pPr>
            <w:r>
              <w:rPr>
                <w:sz w:val="20"/>
                <w:szCs w:val="20"/>
              </w:rPr>
              <w:t xml:space="preserve">Reviewed by a named institution.</w:t>
            </w:r>
          </w:p>
        </w:tc>
      </w:tr>
      <w:tr>
        <w:tc>
          <w:tcPr>
            <w:tcW w:type="dxa" w:w="3200"/>
            <w:shd w:fill="FFFCF7" w:val="clear"/>
            <w:tcMar>
              <w:top w:type="dxa" w:w="100"/>
              <w:left w:type="dxa" w:w="120"/>
              <w:bottom w:type="dxa" w:w="100"/>
              <w:right w:type="dxa" w:w="120"/>
            </w:tcMar>
          </w:tcPr>
          <w:p>
            <w:pPr>
              <w:spacing w:after="60"/>
            </w:pPr>
            <w:r>
              <w:rPr>
                <w:sz w:val="20"/>
                <w:szCs w:val="20"/>
              </w:rPr>
              <w:t xml:space="preserve">Authority-recorded</w:t>
            </w:r>
          </w:p>
        </w:tc>
        <w:tc>
          <w:tcPr>
            <w:tcW w:type="dxa" w:w="6880"/>
            <w:shd w:fill="FFFCF7" w:val="clear"/>
            <w:tcMar>
              <w:top w:type="dxa" w:w="100"/>
              <w:left w:type="dxa" w:w="120"/>
              <w:bottom w:type="dxa" w:w="100"/>
              <w:right w:type="dxa" w:w="120"/>
            </w:tcMar>
          </w:tcPr>
          <w:p>
            <w:pPr>
              <w:spacing w:after="60"/>
            </w:pPr>
            <w:r>
              <w:rPr>
                <w:sz w:val="20"/>
                <w:szCs w:val="20"/>
              </w:rPr>
              <w:t xml:space="preserve">Linked to a government, court, statutory body, or other identified official record.</w:t>
            </w:r>
          </w:p>
        </w:tc>
      </w:tr>
      <w:tr>
        <w:tc>
          <w:tcPr>
            <w:tcW w:type="dxa" w:w="3200"/>
            <w:shd w:fill="FFFCF7" w:val="clear"/>
            <w:tcMar>
              <w:top w:type="dxa" w:w="100"/>
              <w:left w:type="dxa" w:w="120"/>
              <w:bottom w:type="dxa" w:w="100"/>
              <w:right w:type="dxa" w:w="120"/>
            </w:tcMar>
          </w:tcPr>
          <w:p>
            <w:pPr>
              <w:spacing w:after="60"/>
            </w:pPr>
            <w:r>
              <w:rPr>
                <w:sz w:val="20"/>
                <w:szCs w:val="20"/>
              </w:rPr>
              <w:t xml:space="preserve">Authority-issued</w:t>
            </w:r>
          </w:p>
        </w:tc>
        <w:tc>
          <w:tcPr>
            <w:tcW w:type="dxa" w:w="6880"/>
            <w:shd w:fill="FFFCF7" w:val="clear"/>
            <w:tcMar>
              <w:top w:type="dxa" w:w="100"/>
              <w:left w:type="dxa" w:w="120"/>
              <w:bottom w:type="dxa" w:w="100"/>
              <w:right w:type="dxa" w:w="120"/>
            </w:tcMar>
          </w:tcPr>
          <w:p>
            <w:pPr>
              <w:spacing w:after="60"/>
            </w:pPr>
            <w:r>
              <w:rPr>
                <w:sz w:val="20"/>
                <w:szCs w:val="20"/>
              </w:rPr>
              <w:t xml:space="preserve">The named authority itself issued the underlying licence or decision.</w:t>
            </w:r>
          </w:p>
        </w:tc>
      </w:tr>
    </w:tbl>
    <w:p>
      <w:pPr>
        <w:spacing w:after="160"/>
      </w:pPr>
      <w:r>
        <w:t xml:space="preserve">Do not use “Official PRA,” “PRA-certified,” “PRA-approved,” or “PRA-cleared” unless a genuine, named certification process and published criteria exist. Authority-recorded is not a conformance tier; it describes the authority relationship of a record.</w:t>
      </w:r>
    </w:p>
    <w:p>
      <w:pPr>
        <w:pStyle w:val="Heading2"/>
        <w:spacing w:after="150" w:before="300"/>
      </w:pPr>
      <w:r>
        <w:t xml:space="preserve">1.6 Printed block</w:t>
      </w:r>
    </w:p>
    <w:p>
      <w:pPr>
        <w:spacing w:after="160"/>
      </w:pPr>
      <w:r>
        <w:rPr>
          <w:i/>
          <w:iCs/>
        </w:rPr>
        <w:t xml:space="preserve">This edition uses the proposed Printing Right Attribution protocol. PRA record: [PRA-ID]. Basis: PD-V (LK, IN) · text only. Excluded (COMP-X): 1982 preface; cover design. This mark communicates a recorded claim. It is not a government certification, court determination, warranty of non-infringement, or substitute for legal advice, and it does not by itself create permission to reproduce or distribute the work. Status: [resolver URL]. The mark may be presented as currently operative only while the resolver shows the record as Active.</w:t>
      </w:r>
    </w:p>
    <w:p>
      <w:pPr>
        <w:pStyle w:val="Heading1"/>
        <w:spacing w:after="200" w:before="400"/>
      </w:pPr>
      <w:r>
        <w:t xml:space="preserve">2. Lost provenance: the layer that is almost unaddressed</w:t>
      </w:r>
    </w:p>
    <w:p>
      <w:pPr>
        <w:spacing w:after="160"/>
      </w:pPr>
      <w:r>
        <w:t xml:space="preserve">A large part of the world's readable past circulates as reprints with a blank or ornamental verso. The reader often cannot determine whether the publisher's stated assessment is that the text is public domain in that territory, whether a preface or translation remains protected, whether anyone searched, or whether the house simply offset an old copy. That missing trail is lost provenance. It is not the same problem as a book being out of print. The book may be in print again; what is missing is an inspectable account of the stated rights basis for the reprint.</w:t>
      </w:r>
    </w:p>
    <w:p>
      <w:pPr>
        <w:pStyle w:val="Heading2"/>
        <w:spacing w:after="150" w:before="300"/>
      </w:pPr>
      <w:r>
        <w:t xml:space="preserve">2.1 How the South Asian reprint trade actually works</w:t>
      </w:r>
    </w:p>
    <w:p>
      <w:pPr>
        <w:spacing w:after="160"/>
      </w:pPr>
      <w:r>
        <w:t xml:space="preserve">Specialist houses have, for decades, kept colonial-era and classical texts in paper circulation. Asian Educational Services (New Delhi) was founded by Jagdish Lal Jetley in 1973 and has been described in a secondary, citable source as having published more than 1,200 antiquarian titles by 2016, across subjects including travel writing, gazetteers, and dictionaries. That catalogue-scale claim does not establish what rights review, if any, individual titles received.</w:t>
      </w:r>
    </w:p>
    <w:p>
      <w:pPr>
        <w:spacing w:after="160"/>
      </w:pPr>
      <w:r>
        <w:t xml:space="preserve">A verifiable, quoted account of AES's own copyright-clearance practice was not located during preparation of this paper. An earlier draft attributed a quotation to a named director in an interview; that quotation could not be independently confirmed against the original publication and has been removed. Any future version should either locate and cite that interview directly or omit the claim.</w:t>
      </w:r>
    </w:p>
    <w:p>
      <w:pPr>
        <w:spacing w:after="160"/>
      </w:pPr>
      <w:r>
        <w:t xml:space="preserve">Motilal Banarsidass, among other lists, keeps in print series that began as other houses' property, including reprints of Max Müller's Sacred Books of the East, a series originally published by Oxford's Clarendon Press. The nineteenth-century text and the twentieth-century notes, covers, and resets are not necessarily the same rights object. Munshiram Manoharlal, Navrang-type antiquarian lists, and Sri Lankan houses such as Tisara Prakasakayo perform similar preservation and circulation functions for some classical and scholarly works. This paper does not infer the legality or internal diligence of any named publisher from the absence of a public PRA record. The point is structural: a market can be real and useful while its provenance remains uninspectable to an outside library, examiner, or importer.</w:t>
      </w:r>
    </w:p>
    <w:p>
      <w:pPr>
        <w:spacing w:after="160"/>
      </w:pPr>
      <w:r>
        <w:t xml:space="preserve">Many underlying texts may be free of copyright in India, Sri Lanka, or another territory under the applicable term rule, but a title's age alone does not establish that conclusion. The gap this paper addresses is that an outside user often cannot see which layer of a given reprint was assessed as free, which layer was newly added, and which layer was never checked.</w:t>
      </w:r>
    </w:p>
    <w:p>
      <w:pPr>
        <w:spacing w:after="160"/>
      </w:pPr>
      <w:r>
        <w:t xml:space="preserve">India already has a domestic mechanism directly relevant to this trade: the Copyright Act, 1957, s.31A, as amended in 2012, allows a compulsory licence for a published or unpublished work whose author is dead, unknown, or cannot be traced. That mechanism is the closest existing domestic analogue to Source B for the market this paper discusses, and a publisher relying on Source B in India would apply through it, not through PRA itself. Sri Lanka's Intellectual Property Act, No. 36 of 2003 has no equivalent provision; its ss.11-12 address fair use and narrow library and archive exceptions only, and published guidance on the Act does not identify an orphan-works or out-of-commerce mechanism.</w:t>
      </w:r>
    </w:p>
    <w:p>
      <w:pPr>
        <w:pStyle w:val="Heading2"/>
        <w:spacing w:after="150" w:before="300"/>
      </w:pPr>
      <w:r>
        <w:t xml:space="preserve">2.2 Why “antiquity” is not a provenance system</w:t>
      </w:r>
    </w:p>
    <w:p>
      <w:pPr>
        <w:spacing w:after="160"/>
      </w:pPr>
      <w:r>
        <w:t xml:space="preserve">Copyright term is counted from the author's death, not simply from the imprint year. A book printed in 1890 whose author died in 1940 may still be protected in a life-plus-seventy state. A book printed in 1920 whose author died in 1922 may be free in India and still protected in the United Kingdom. A facsimile of an 1870 text bound with a 1985 introduction is a mixed object. Saying “nineteenth century” on the spine answers none of those questions.</w:t>
      </w:r>
    </w:p>
    <w:p>
      <w:pPr>
        <w:spacing w:after="160"/>
      </w:pPr>
      <w:r>
        <w:t xml:space="preserve">Public-domain and qualified-rights vocabularies already exist for catalogues, including </w:t>
      </w:r>
      <w:hyperlink w:history="1" r:id="rIdswknnvyb1fmrtanbllspw">
        <w:r>
          <w:rPr>
            <w:color w:val="1F6B5A"/>
            <w:u w:val="single"/>
          </w:rPr>
          <w:t xml:space="preserve">Creative Commons' Public Domain Mark</w:t>
        </w:r>
      </w:hyperlink>
      <w:r>
        <w:t xml:space="preserve"> and </w:t>
      </w:r>
      <w:hyperlink w:history="1" r:id="rIdrgvmndbv3werl2wpwlmkx">
        <w:r>
          <w:rPr>
            <w:color w:val="1F6B5A"/>
            <w:u w:val="single"/>
          </w:rPr>
          <w:t xml:space="preserve">RightsStatements.org</w:t>
        </w:r>
      </w:hyperlink>
      <w:r>
        <w:t xml:space="preserve"> statements. The proposed gap is not the absence of rights vocabulary in general; it is the absence of a widely adopted printed, component-level, territory-explicit, resolver-linked convention for trade reprints.</w:t>
      </w:r>
    </w:p>
    <w:p>
      <w:pPr>
        <w:pStyle w:val="Heading2"/>
        <w:spacing w:after="150" w:before="300"/>
      </w:pPr>
      <w:r>
        <w:t xml:space="preserve">2.3 What the evidence shows</w:t>
      </w:r>
    </w:p>
    <w:p>
      <w:pPr>
        <w:spacing w:after="160"/>
      </w:pPr>
      <w:r>
        <w:t xml:space="preserve">In Carnegie Mellon University Library studies of digitisation permissions conducted in the early 2000s, locating rights holders was time-consuming and frequently unsuccessful. For a set of 278 fine and rare books submitted for permission in 2003, one report gave an average transaction cost of approximately $78 per title for securing digitisation and web-access permission. Those studies were historical, US-based, and concerned research-library digitisation rather than commercial print reprints; they are cited as background evidence that individual-title rights clearance can be costly and unsuccessful, not as a direct measurement of PRA's costs or savings.</w:t>
      </w:r>
    </w:p>
    <w:p>
      <w:pPr>
        <w:spacing w:after="160"/>
      </w:pPr>
      <w:r>
        <w:t xml:space="preserve">Reimers (2019) examined how the 1998 US Copyright Term Extension Act affected book availability and price using a regression-discontinuity design. The article is used here as background economics on the relationship between copyright duration, generic entry, and availability. It does not measure PRA, South Asian reprints, or the cost of maintaining a physical provenance record, and it is not cited as proof that a PRA-style registry increases consumer surplus.</w:t>
      </w:r>
    </w:p>
    <w:p>
      <w:pPr>
        <w:spacing w:after="160"/>
      </w:pPr>
      <w:r>
        <w:t xml:space="preserve">A 2011 UK parliamentary source reported a British Library estimate that around 40 percent of relevant in-copyright holdings, approximately 150 million items across formats, could be orphan works. The figure is historical, collection-specific, format-inclusive, and definition-dependent; it is not a current universal rate for books or libraries.</w:t>
      </w:r>
    </w:p>
    <w:p>
      <w:pPr>
        <w:spacing w:after="160"/>
      </w:pPr>
      <w:r>
        <w:t xml:space="preserve">These figures do not prove that PRA will reduce cost or increase availability. They support the narrower proposition that individual-title rights clearance can be expensive, unsuccessful, or difficult to scale, and that a reusable, inspectable search record may be worth testing. Lost provenance names the documentation gap that may remain when a book returns to circulation without such a record.</w:t>
      </w:r>
    </w:p>
    <w:p>
      <w:pPr>
        <w:pStyle w:val="Heading1"/>
        <w:spacing w:after="200" w:before="400"/>
      </w:pPr>
      <w:r>
        <w:t xml:space="preserve">3. The gap this layer may fill</w:t>
      </w:r>
    </w:p>
    <w:p>
      <w:pPr>
        <w:pStyle w:val="Heading2"/>
        <w:spacing w:after="150" w:before="300"/>
      </w:pPr>
      <w:r>
        <w:t xml:space="preserve">3.1 Academic need</w:t>
      </w:r>
    </w:p>
    <w:p>
      <w:pPr>
        <w:pStyle w:val="ListParagraph"/>
        <w:numPr>
          <w:ilvl w:val="0"/>
          <w:numId w:val="1"/>
        </w:numPr>
        <w:spacing w:after="80"/>
      </w:pPr>
      <w:r>
        <w:t xml:space="preserve">Citation and accession: a library can store the recorded status, components, territories, and resolver rather than relying only on “antiquarian facsimile.”</w:t>
      </w:r>
    </w:p>
    <w:p>
      <w:pPr>
        <w:pStyle w:val="ListParagraph"/>
        <w:numPr>
          <w:ilvl w:val="0"/>
          <w:numId w:val="1"/>
        </w:numPr>
        <w:spacing w:after="80"/>
      </w:pPr>
      <w:r>
        <w:t xml:space="preserve">Course packs and reading lists: the provenance of the physical edition can be distinguished from the separate legal rules governing scanning, course packs, and educational exceptions.</w:t>
      </w:r>
    </w:p>
    <w:p>
      <w:pPr>
        <w:pStyle w:val="ListParagraph"/>
        <w:numPr>
          <w:ilvl w:val="0"/>
          <w:numId w:val="1"/>
        </w:numPr>
        <w:spacing w:after="80"/>
      </w:pPr>
      <w:r>
        <w:t xml:space="preserve">Textual scholarship: editors can separate the source text from a later preface, cover essay, translation, or editorial apparatus.</w:t>
      </w:r>
    </w:p>
    <w:p>
      <w:pPr>
        <w:pStyle w:val="ListParagraph"/>
        <w:numPr>
          <w:ilvl w:val="0"/>
          <w:numId w:val="1"/>
        </w:numPr>
        <w:spacing w:after="80"/>
      </w:pPr>
      <w:r>
        <w:t xml:space="preserve">Cross-border research: a territory-specific record reduces the risk that a public-domain claim is exported without qualification.</w:t>
      </w:r>
    </w:p>
    <w:p>
      <w:pPr>
        <w:pStyle w:val="ListParagraph"/>
        <w:numPr>
          <w:ilvl w:val="0"/>
          <w:numId w:val="1"/>
        </w:numPr>
        <w:spacing w:after="80"/>
      </w:pPr>
      <w:r>
        <w:t xml:space="preserve">Trust in sources: provenance of the reprint is not a substitute for critique of colonial or contested content; it is a way to identify which edition is being examined.</w:t>
      </w:r>
    </w:p>
    <w:p>
      <w:pPr>
        <w:pStyle w:val="Heading2"/>
        <w:spacing w:after="150" w:before="300"/>
      </w:pPr>
      <w:r>
        <w:t xml:space="preserve">3.2 Publishing and trade need</w:t>
      </w:r>
    </w:p>
    <w:p>
      <w:pPr>
        <w:pStyle w:val="ListParagraph"/>
        <w:numPr>
          <w:ilvl w:val="0"/>
          <w:numId w:val="1"/>
        </w:numPr>
        <w:spacing w:after="80"/>
      </w:pPr>
      <w:r>
        <w:t xml:space="preserve">Procurement: a documented record could help a library or buyer evaluate a reprint, without guaranteeing purchase.</w:t>
      </w:r>
    </w:p>
    <w:p>
      <w:pPr>
        <w:pStyle w:val="ListParagraph"/>
        <w:numPr>
          <w:ilvl w:val="0"/>
          <w:numId w:val="1"/>
        </w:numPr>
        <w:spacing w:after="80"/>
      </w:pPr>
      <w:r>
        <w:t xml:space="preserve">Differentiation: houses that already conduct some review could make the scope and evidence more visible.</w:t>
      </w:r>
    </w:p>
    <w:p>
      <w:pPr>
        <w:pStyle w:val="ListParagraph"/>
        <w:numPr>
          <w:ilvl w:val="0"/>
          <w:numId w:val="1"/>
        </w:numPr>
        <w:spacing w:after="80"/>
      </w:pPr>
      <w:r>
        <w:t xml:space="preserve">Future titles: a rights holder may record a voluntary deed for a later reprint, subject to the deed's terms.</w:t>
      </w:r>
    </w:p>
    <w:p>
      <w:pPr>
        <w:pStyle w:val="ListParagraph"/>
        <w:numPr>
          <w:ilvl w:val="0"/>
          <w:numId w:val="1"/>
        </w:numPr>
        <w:spacing w:after="80"/>
      </w:pPr>
      <w:r>
        <w:t xml:space="preserve">Component honesty: excluded or separately treated material can be identified instead of being silently included in a broad public-domain claim.</w:t>
      </w:r>
    </w:p>
    <w:p>
      <w:pPr>
        <w:pStyle w:val="Heading2"/>
        <w:spacing w:after="150" w:before="300"/>
      </w:pPr>
      <w:r>
        <w:t xml:space="preserve">3.3 Potential financial and institutional effects</w:t>
      </w:r>
    </w:p>
    <w:p>
      <w:pPr>
        <w:spacing w:after="160"/>
      </w:pPr>
      <w:r>
        <w:t xml:space="preserve">The value described here is not a new tax on readers. It is the possible recovery of transactions that currently fail and clearer protection for transactions that occur without documentation. The table states possible effects, not demonstrated outcomes; PRA has not yet been piloted.</w:t>
      </w:r>
    </w:p>
    <w:p>
      <w:pPr>
        <w:spacing w:after="100" w:before="220"/>
      </w:pPr>
      <w:r>
        <w:rPr>
          <w:b/>
          <w:bCs/>
          <w:color w:val="8A6D3B"/>
          <w:sz w:val="22"/>
          <w:szCs w:val="22"/>
        </w:rPr>
        <w:t xml:space="preserve">Potential financial and institutional effects of lost provenance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900"/>
        <w:gridCol w:w="3200"/>
        <w:gridCol w:w="3980"/>
      </w:tblGrid>
      <w:tr>
        <w:trPr>
          <w:tblHeader/>
        </w:trPr>
        <w:tc>
          <w:tcPr>
            <w:tcW w:type="dxa" w:w="2900"/>
            <w:shd w:fill="1B365D" w:val="clear"/>
            <w:tcMar>
              <w:top w:type="dxa" w:w="100"/>
              <w:left w:type="dxa" w:w="120"/>
              <w:bottom w:type="dxa" w:w="100"/>
              <w:right w:type="dxa" w:w="120"/>
            </w:tcMar>
          </w:tcPr>
          <w:p>
            <w:r>
              <w:rPr>
                <w:b/>
                <w:bCs/>
                <w:color w:val="FFFFFF"/>
                <w:sz w:val="20"/>
                <w:szCs w:val="20"/>
              </w:rPr>
              <w:t xml:space="preserve">Failure or uncertainty today</w:t>
            </w:r>
          </w:p>
        </w:tc>
        <w:tc>
          <w:tcPr>
            <w:tcW w:type="dxa" w:w="3200"/>
            <w:shd w:fill="1B365D" w:val="clear"/>
            <w:tcMar>
              <w:top w:type="dxa" w:w="100"/>
              <w:left w:type="dxa" w:w="120"/>
              <w:bottom w:type="dxa" w:w="100"/>
              <w:right w:type="dxa" w:w="120"/>
            </w:tcMar>
          </w:tcPr>
          <w:p>
            <w:r>
              <w:rPr>
                <w:b/>
                <w:bCs/>
                <w:color w:val="FFFFFF"/>
                <w:sz w:val="20"/>
                <w:szCs w:val="20"/>
              </w:rPr>
              <w:t xml:space="preserve">Who may bear the cost</w:t>
            </w:r>
          </w:p>
        </w:tc>
        <w:tc>
          <w:tcPr>
            <w:tcW w:type="dxa" w:w="3980"/>
            <w:shd w:fill="1B365D" w:val="clear"/>
            <w:tcMar>
              <w:top w:type="dxa" w:w="100"/>
              <w:left w:type="dxa" w:w="120"/>
              <w:bottom w:type="dxa" w:w="100"/>
              <w:right w:type="dxa" w:w="120"/>
            </w:tcMar>
          </w:tcPr>
          <w:p>
            <w:r>
              <w:rPr>
                <w:b/>
                <w:bCs/>
                <w:color w:val="FFFFFF"/>
                <w:sz w:val="20"/>
                <w:szCs w:val="20"/>
              </w:rPr>
              <w:t xml:space="preserve">What a visible record could make possible</w:t>
            </w:r>
          </w:p>
        </w:tc>
      </w:tr>
      <w:tr>
        <w:tc>
          <w:tcPr>
            <w:tcW w:type="dxa" w:w="2900"/>
            <w:shd w:fill="FFFCF7" w:val="clear"/>
            <w:tcMar>
              <w:top w:type="dxa" w:w="100"/>
              <w:left w:type="dxa" w:w="120"/>
              <w:bottom w:type="dxa" w:w="100"/>
              <w:right w:type="dxa" w:w="120"/>
            </w:tcMar>
          </w:tcPr>
          <w:p>
            <w:pPr>
              <w:spacing w:after="60"/>
            </w:pPr>
            <w:r>
              <w:rPr>
                <w:sz w:val="20"/>
                <w:szCs w:val="20"/>
              </w:rPr>
              <w:t xml:space="preserve">Search repeated from scratch</w:t>
            </w:r>
          </w:p>
        </w:tc>
        <w:tc>
          <w:tcPr>
            <w:tcW w:type="dxa" w:w="3200"/>
            <w:shd w:fill="FFFCF7" w:val="clear"/>
            <w:tcMar>
              <w:top w:type="dxa" w:w="100"/>
              <w:left w:type="dxa" w:w="120"/>
              <w:bottom w:type="dxa" w:w="100"/>
              <w:right w:type="dxa" w:w="120"/>
            </w:tcMar>
          </w:tcPr>
          <w:p>
            <w:pPr>
              <w:spacing w:after="60"/>
            </w:pPr>
            <w:r>
              <w:rPr>
                <w:sz w:val="20"/>
                <w:szCs w:val="20"/>
              </w:rPr>
              <w:t xml:space="preserve">Publishers, libraries, and digitisation teams</w:t>
            </w:r>
          </w:p>
        </w:tc>
        <w:tc>
          <w:tcPr>
            <w:tcW w:type="dxa" w:w="3980"/>
            <w:shd w:fill="FFFCF7" w:val="clear"/>
            <w:tcMar>
              <w:top w:type="dxa" w:w="100"/>
              <w:left w:type="dxa" w:w="120"/>
              <w:bottom w:type="dxa" w:w="100"/>
              <w:right w:type="dxa" w:w="120"/>
            </w:tcMar>
          </w:tcPr>
          <w:p>
            <w:pPr>
              <w:spacing w:after="60"/>
            </w:pPr>
            <w:r>
              <w:rPr>
                <w:sz w:val="20"/>
                <w:szCs w:val="20"/>
              </w:rPr>
              <w:t xml:space="preserve">Reuse of a documented search file across later reprints and accessions, subject to jurisdiction and review.</w:t>
            </w:r>
          </w:p>
        </w:tc>
      </w:tr>
      <w:tr>
        <w:tc>
          <w:tcPr>
            <w:tcW w:type="dxa" w:w="2900"/>
            <w:shd w:fill="FFFCF7" w:val="clear"/>
            <w:tcMar>
              <w:top w:type="dxa" w:w="100"/>
              <w:left w:type="dxa" w:w="120"/>
              <w:bottom w:type="dxa" w:w="100"/>
              <w:right w:type="dxa" w:w="120"/>
            </w:tcMar>
          </w:tcPr>
          <w:p>
            <w:pPr>
              <w:spacing w:after="60"/>
            </w:pPr>
            <w:r>
              <w:rPr>
                <w:sz w:val="20"/>
                <w:szCs w:val="20"/>
              </w:rPr>
              <w:t xml:space="preserve">Institution hesitates to buy an undocumented reprint</w:t>
            </w:r>
          </w:p>
        </w:tc>
        <w:tc>
          <w:tcPr>
            <w:tcW w:type="dxa" w:w="3200"/>
            <w:shd w:fill="FFFCF7" w:val="clear"/>
            <w:tcMar>
              <w:top w:type="dxa" w:w="100"/>
              <w:left w:type="dxa" w:w="120"/>
              <w:bottom w:type="dxa" w:w="100"/>
              <w:right w:type="dxa" w:w="120"/>
            </w:tcMar>
          </w:tcPr>
          <w:p>
            <w:pPr>
              <w:spacing w:after="60"/>
            </w:pPr>
            <w:r>
              <w:rPr>
                <w:sz w:val="20"/>
                <w:szCs w:val="20"/>
              </w:rPr>
              <w:t xml:space="preserve">Publisher, institution, and readers</w:t>
            </w:r>
          </w:p>
        </w:tc>
        <w:tc>
          <w:tcPr>
            <w:tcW w:type="dxa" w:w="3980"/>
            <w:shd w:fill="FFFCF7" w:val="clear"/>
            <w:tcMar>
              <w:top w:type="dxa" w:w="100"/>
              <w:left w:type="dxa" w:w="120"/>
              <w:bottom w:type="dxa" w:w="100"/>
              <w:right w:type="dxa" w:w="120"/>
            </w:tcMar>
          </w:tcPr>
          <w:p>
            <w:pPr>
              <w:spacing w:after="60"/>
            </w:pPr>
            <w:r>
              <w:rPr>
                <w:sz w:val="20"/>
                <w:szCs w:val="20"/>
              </w:rPr>
              <w:t xml:space="preserve">A clearer procurement record, without guaranteeing a purchase decision.</w:t>
            </w:r>
          </w:p>
        </w:tc>
      </w:tr>
      <w:tr>
        <w:tc>
          <w:tcPr>
            <w:tcW w:type="dxa" w:w="2900"/>
            <w:shd w:fill="FFFCF7" w:val="clear"/>
            <w:tcMar>
              <w:top w:type="dxa" w:w="100"/>
              <w:left w:type="dxa" w:w="120"/>
              <w:bottom w:type="dxa" w:w="100"/>
              <w:right w:type="dxa" w:w="120"/>
            </w:tcMar>
          </w:tcPr>
          <w:p>
            <w:pPr>
              <w:spacing w:after="60"/>
            </w:pPr>
            <w:r>
              <w:rPr>
                <w:sz w:val="20"/>
                <w:szCs w:val="20"/>
              </w:rPr>
              <w:t xml:space="preserve">Rights holder later appears</w:t>
            </w:r>
          </w:p>
        </w:tc>
        <w:tc>
          <w:tcPr>
            <w:tcW w:type="dxa" w:w="3200"/>
            <w:shd w:fill="FFFCF7" w:val="clear"/>
            <w:tcMar>
              <w:top w:type="dxa" w:w="100"/>
              <w:left w:type="dxa" w:w="120"/>
              <w:bottom w:type="dxa" w:w="100"/>
              <w:right w:type="dxa" w:w="120"/>
            </w:tcMar>
          </w:tcPr>
          <w:p>
            <w:pPr>
              <w:spacing w:after="60"/>
            </w:pPr>
            <w:r>
              <w:rPr>
                <w:sz w:val="20"/>
                <w:szCs w:val="20"/>
              </w:rPr>
              <w:t xml:space="preserve">Publisher, distributor, and institution</w:t>
            </w:r>
          </w:p>
        </w:tc>
        <w:tc>
          <w:tcPr>
            <w:tcW w:type="dxa" w:w="3980"/>
            <w:shd w:fill="FFFCF7" w:val="clear"/>
            <w:tcMar>
              <w:top w:type="dxa" w:w="100"/>
              <w:left w:type="dxa" w:w="120"/>
              <w:bottom w:type="dxa" w:w="100"/>
              <w:right w:type="dxa" w:w="120"/>
            </w:tcMar>
          </w:tcPr>
          <w:p>
            <w:pPr>
              <w:spacing w:after="60"/>
            </w:pPr>
            <w:r>
              <w:rPr>
                <w:sz w:val="20"/>
                <w:szCs w:val="20"/>
              </w:rPr>
              <w:t xml:space="preserve">Faster identification of the affected component and a record of prior diligence; no automatic cap on liability or damages.</w:t>
            </w:r>
          </w:p>
        </w:tc>
      </w:tr>
      <w:tr>
        <w:tc>
          <w:tcPr>
            <w:tcW w:type="dxa" w:w="2900"/>
            <w:shd w:fill="FFFCF7" w:val="clear"/>
            <w:tcMar>
              <w:top w:type="dxa" w:w="100"/>
              <w:left w:type="dxa" w:w="120"/>
              <w:bottom w:type="dxa" w:w="100"/>
              <w:right w:type="dxa" w:w="120"/>
            </w:tcMar>
          </w:tcPr>
          <w:p>
            <w:pPr>
              <w:spacing w:after="60"/>
            </w:pPr>
            <w:r>
              <w:rPr>
                <w:sz w:val="20"/>
                <w:szCs w:val="20"/>
              </w:rPr>
              <w:t xml:space="preserve">Protected layer used without permission</w:t>
            </w:r>
          </w:p>
        </w:tc>
        <w:tc>
          <w:tcPr>
            <w:tcW w:type="dxa" w:w="3200"/>
            <w:shd w:fill="FFFCF7" w:val="clear"/>
            <w:tcMar>
              <w:top w:type="dxa" w:w="100"/>
              <w:left w:type="dxa" w:w="120"/>
              <w:bottom w:type="dxa" w:w="100"/>
              <w:right w:type="dxa" w:w="120"/>
            </w:tcMar>
          </w:tcPr>
          <w:p>
            <w:pPr>
              <w:spacing w:after="60"/>
            </w:pPr>
            <w:r>
              <w:rPr>
                <w:sz w:val="20"/>
                <w:szCs w:val="20"/>
              </w:rPr>
              <w:t xml:space="preserve">Translator, editor, photographer, or estate</w:t>
            </w:r>
          </w:p>
        </w:tc>
        <w:tc>
          <w:tcPr>
            <w:tcW w:type="dxa" w:w="3980"/>
            <w:shd w:fill="FFFCF7" w:val="clear"/>
            <w:tcMar>
              <w:top w:type="dxa" w:w="100"/>
              <w:left w:type="dxa" w:w="120"/>
              <w:bottom w:type="dxa" w:w="100"/>
              <w:right w:type="dxa" w:w="120"/>
            </w:tcMar>
          </w:tcPr>
          <w:p>
            <w:pPr>
              <w:spacing w:after="60"/>
            </w:pPr>
            <w:r>
              <w:rPr>
                <w:sz w:val="20"/>
                <w:szCs w:val="20"/>
              </w:rPr>
              <w:t xml:space="preserve">Explicit exclusion under COMP-X or separate permission routed through PRA-A.</w:t>
            </w:r>
          </w:p>
        </w:tc>
      </w:tr>
      <w:tr>
        <w:tc>
          <w:tcPr>
            <w:tcW w:type="dxa" w:w="2900"/>
            <w:shd w:fill="FFFCF7" w:val="clear"/>
            <w:tcMar>
              <w:top w:type="dxa" w:w="100"/>
              <w:left w:type="dxa" w:w="120"/>
              <w:bottom w:type="dxa" w:w="100"/>
              <w:right w:type="dxa" w:w="120"/>
            </w:tcMar>
          </w:tcPr>
          <w:p>
            <w:pPr>
              <w:spacing w:after="60"/>
            </w:pPr>
            <w:r>
              <w:rPr>
                <w:sz w:val="20"/>
                <w:szCs w:val="20"/>
              </w:rPr>
              <w:t xml:space="preserve">Undocumented copies circulate</w:t>
            </w:r>
          </w:p>
        </w:tc>
        <w:tc>
          <w:tcPr>
            <w:tcW w:type="dxa" w:w="3200"/>
            <w:shd w:fill="FFFCF7" w:val="clear"/>
            <w:tcMar>
              <w:top w:type="dxa" w:w="100"/>
              <w:left w:type="dxa" w:w="120"/>
              <w:bottom w:type="dxa" w:w="100"/>
              <w:right w:type="dxa" w:w="120"/>
            </w:tcMar>
          </w:tcPr>
          <w:p>
            <w:pPr>
              <w:spacing w:after="60"/>
            </w:pPr>
            <w:r>
              <w:rPr>
                <w:sz w:val="20"/>
                <w:szCs w:val="20"/>
              </w:rPr>
              <w:t xml:space="preserve">Readers, libraries, and rights holders</w:t>
            </w:r>
          </w:p>
        </w:tc>
        <w:tc>
          <w:tcPr>
            <w:tcW w:type="dxa" w:w="3980"/>
            <w:shd w:fill="FFFCF7" w:val="clear"/>
            <w:tcMar>
              <w:top w:type="dxa" w:w="100"/>
              <w:left w:type="dxa" w:w="120"/>
              <w:bottom w:type="dxa" w:w="100"/>
              <w:right w:type="dxa" w:w="120"/>
            </w:tcMar>
          </w:tcPr>
          <w:p>
            <w:pPr>
              <w:spacing w:after="60"/>
            </w:pPr>
            <w:r>
              <w:rPr>
                <w:sz w:val="20"/>
                <w:szCs w:val="20"/>
              </w:rPr>
              <w:t xml:space="preserve">A distinguishable, resolvable copy with provenance information; this does not stop every misuse.</w:t>
            </w:r>
          </w:p>
        </w:tc>
      </w:tr>
    </w:tbl>
    <w:p>
      <w:pPr>
        <w:spacing w:after="160"/>
      </w:pPr>
      <w:r>
        <w:t xml:space="preserve">None of these effects is guaranteed. They depend on national law, institutional policy, and whether records are accurate and maintained. A public record does not cap damages, prevent injunctions, make good-faith conduct legally sufficient, or guarantee procurement.</w:t>
      </w:r>
    </w:p>
    <w:p>
      <w:pPr>
        <w:pStyle w:val="Heading2"/>
        <w:spacing w:after="150" w:before="300"/>
      </w:pPr>
      <w:r>
        <w:t xml:space="preserve">3.4 What this does not solve</w:t>
      </w:r>
    </w:p>
    <w:p>
      <w:pPr>
        <w:pStyle w:val="ListParagraph"/>
        <w:numPr>
          <w:ilvl w:val="0"/>
          <w:numId w:val="1"/>
        </w:numPr>
        <w:spacing w:after="80"/>
      </w:pPr>
      <w:r>
        <w:t xml:space="preserve">It does not make a still-in-copyright novel free.</w:t>
      </w:r>
    </w:p>
    <w:p>
      <w:pPr>
        <w:pStyle w:val="ListParagraph"/>
        <w:numPr>
          <w:ilvl w:val="0"/>
          <w:numId w:val="1"/>
        </w:numPr>
        <w:spacing w:after="80"/>
      </w:pPr>
      <w:r>
        <w:t xml:space="preserve">It does not replace Marrakesh accessible copies, library exceptions, or fair dealing.</w:t>
      </w:r>
    </w:p>
    <w:p>
      <w:pPr>
        <w:pStyle w:val="ListParagraph"/>
        <w:numPr>
          <w:ilvl w:val="0"/>
          <w:numId w:val="1"/>
        </w:numPr>
        <w:spacing w:after="80"/>
      </w:pPr>
      <w:r>
        <w:t xml:space="preserve">It does not certify scholarly quality or political acceptability of a colonial text.</w:t>
      </w:r>
    </w:p>
    <w:p>
      <w:pPr>
        <w:pStyle w:val="ListParagraph"/>
        <w:numPr>
          <w:ilvl w:val="0"/>
          <w:numId w:val="1"/>
        </w:numPr>
        <w:spacing w:after="80"/>
      </w:pPr>
      <w:r>
        <w:t xml:space="preserve">It does not give Linseed or any node a monopoly on the graphic.</w:t>
      </w:r>
    </w:p>
    <w:p>
      <w:pPr>
        <w:pStyle w:val="ListParagraph"/>
        <w:numPr>
          <w:ilvl w:val="0"/>
          <w:numId w:val="1"/>
        </w:numPr>
        <w:spacing w:after="80"/>
      </w:pPr>
      <w:r>
        <w:t xml:space="preserve">It does not become a treaty because a mark was printed.</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9020"/>
      </w:tblGrid>
      <w:tr>
        <w:tc>
          <w:tcPr>
            <w:tcW w:type="dxa" w:w="9020"/>
            <w:tcBorders>
              <w:top w:val="single" w:color="1B365D" w:sz="10"/>
              <w:left w:val="single" w:color="1B365D" w:sz="10"/>
              <w:bottom w:val="single" w:color="1B365D" w:sz="10"/>
              <w:right w:val="single" w:color="1B365D" w:sz="10"/>
            </w:tcBorders>
            <w:shd w:fill="EFF6F3" w:val="clear"/>
            <w:tcMar>
              <w:top w:type="dxa" w:w="160"/>
              <w:left w:type="dxa" w:w="200"/>
              <w:bottom w:type="dxa" w:w="160"/>
              <w:right w:type="dxa" w:w="200"/>
            </w:tcMar>
          </w:tcPr>
          <w:p>
            <w:pPr>
              <w:spacing w:after="100"/>
            </w:pPr>
            <w:r>
              <w:rPr>
                <w:b/>
                <w:bCs/>
                <w:color w:val="1B365D"/>
              </w:rPr>
              <w:t xml:space="preserve">Limitations of this proposal</w:t>
            </w:r>
          </w:p>
          <w:p>
            <w:pPr>
              <w:spacing w:after="0"/>
            </w:pPr>
            <w:r>
              <w:rPr>
                <w:b w:val="false"/>
                <w:bCs w:val="false"/>
                <w:color w:val="1B365D"/>
              </w:rPr>
              <w:t xml:space="preserve">PRA is not a legal clearance service, rights certification, warranty, or safe harbour. A public record may be incomplete, mistaken, challenged, or jurisdictionally limited. PD-V records a documented assessment, not a universal legal fact. COMP-X identifies excluded material but does not resolve rights in that material. PRA-A and PRA-B have legal effect only through the underlying deed, licence, statute, or authority. Users remain responsible for compliance with applicable law.</w:t>
            </w:r>
          </w:p>
        </w:tc>
      </w:tr>
    </w:tbl>
    <w:p>
      <w:pPr>
        <w:pStyle w:val="Heading1"/>
        <w:spacing w:after="200" w:before="400"/>
      </w:pPr>
      <w:r>
        <w:t xml:space="preserve">4. How this joins the three-instrument framework</w:t>
      </w:r>
    </w:p>
    <w:p>
      <w:pPr>
        <w:spacing w:after="160"/>
      </w:pPr>
      <w:r>
        <w:t xml:space="preserve">Source A, Source B, and the protocol remain the legal spine. PD-V and COMP-X live in the protocol as status fields and printable views of those fields. A profile such as PRA-C is not operative unless it points to a deed or decision. PD-V does not point to a deed; it points to a search file and territorial conclusion using the canonical evidence, review, authority, challenge, and state fields in Paper I.</w:t>
      </w:r>
    </w:p>
    <w:p>
      <w:pPr>
        <w:spacing w:after="160"/>
      </w:pPr>
      <w:r>
        <w:t xml:space="preserve">PD-V and COMP-X are core fields in the framework paper's minimum viable record, not optional modules. They are designed to remain meaningful whichever storage or integrity technology a node uses, including future ledgers or verifiable credentials; neither mark depends on one.</w:t>
      </w:r>
    </w:p>
    <w:p>
      <w:pPr>
        <w:spacing w:after="160"/>
      </w:pPr>
      <w:r>
        <w:t xml:space="preserve">Pilot recommendation: the first public corpus should include (1) one nineteenth-century text with a public PD-V file for named territories, (2) one twentieth-century out-of-commerce title with a signed PRA-A, and (3) one mixed volume using COMP-X for protected editorial matter. Do not launch on a disputed living-author trade novel.</w:t>
      </w:r>
    </w:p>
    <w:p>
      <w:pPr>
        <w:pStyle w:val="Heading1"/>
        <w:spacing w:after="200" w:before="400"/>
      </w:pPr>
      <w:r>
        <w:t xml:space="preserve">5. Position for 30 September</w:t>
      </w:r>
    </w:p>
    <w:p>
      <w:pPr>
        <w:spacing w:after="160"/>
      </w:pPr>
      <w:r>
        <w:t xml:space="preserve">These marks are offered as proposed industry practice for the reprint, library, and academic trades. They may be adapted or rejected. They should not be described as existing international standards. If a competent office later wants Source B, that requires national law. If Member States later want an international instrument, that is their decision after practice and evidence exist.</w:t>
      </w:r>
    </w:p>
    <w:p>
      <w:pPr>
        <w:pBdr>
          <w:bottom w:val="single" w:color="1B365D" w:sz="8" w:space="4"/>
        </w:pBdr>
        <w:spacing w:after="200" w:before="200"/>
      </w:pPr>
      <w:r>
        <w:t xml:space="preserve"/>
      </w:r>
    </w:p>
    <w:p>
      <w:pPr>
        <w:pStyle w:val="Heading2"/>
        <w:spacing w:after="150" w:before="300"/>
      </w:pPr>
      <w:r>
        <w:t xml:space="preserve">Sources</w:t>
      </w:r>
    </w:p>
    <w:p>
      <w:pPr>
        <w:spacing w:after="160"/>
      </w:pPr>
      <w:r>
        <w:rPr>
          <w:i/>
          <w:iCs/>
        </w:rPr>
        <w:t xml:space="preserve">Systems named in this addendum (RightsStatements.org, the Creative Commons Public Domain Mark, HathiTrust, the EUIPO out-of-commerce works portal) and the comparative orphan-work statutes (Canada, the United Kingdom, Japan) are listed in full in the framework paper's “Sources and related systems” section. Listed below are the sources specific to this addendum's empirical and historical claims.</w:t>
      </w:r>
    </w:p>
    <w:p>
      <w:pPr>
        <w:spacing w:after="160"/>
      </w:pPr>
      <w:r>
        <w:t xml:space="preserve">Copyright Act, 1957 (India), s.31A, as amended in 2012.</w:t>
      </w:r>
    </w:p>
    <w:p>
      <w:pPr>
        <w:spacing w:after="160"/>
      </w:pPr>
      <w:r>
        <w:t xml:space="preserve">Intellectual Property Act, No. 36 of 2003 (Sri Lanka), ss.11-12; WIPO Lex No. LK004.</w:t>
      </w:r>
    </w:p>
    <w:p>
      <w:pPr>
        <w:spacing w:after="160"/>
      </w:pPr>
      <w:r>
        <w:t xml:space="preserve">Covey, D. T. (2005). Acquiring Copyright Permission to Digitize and Provide Open Access to Books. Digital Library Federation / Council on Library and Information Resources.</w:t>
      </w:r>
    </w:p>
    <w:p>
      <w:pPr>
        <w:spacing w:after="160"/>
      </w:pPr>
      <w:r>
        <w:t xml:space="preserve">Reimers, I. (2019). “Copyright and Generic Entry in Book Publishing.” American Economic Journal: Microeconomics, 11(3), 257-284.</w:t>
      </w:r>
    </w:p>
    <w:p>
      <w:pPr>
        <w:spacing w:after="160"/>
      </w:pPr>
      <w:r>
        <w:t xml:space="preserve">British Library, cited in a 2011 UK parliamentary source and in the European Commission's account of the EU orphan-works framework, estimating that around 40 percent of relevant in-copyright holdings, spanning multiple formats, could be orphan works.</w:t>
      </w:r>
    </w:p>
    <w:p>
      <w:pPr>
        <w:spacing w:after="160"/>
      </w:pPr>
      <w:r>
        <w:t xml:space="preserve">Asian Educational Services company profile and catalogue-scale description, as reported in a secondary, citable source; the previously attributed interview quotation has been removed for the reasons stated in section 2.1.</w:t>
      </w:r>
    </w:p>
    <w:p>
      <w:pPr>
        <w:spacing w:after="160"/>
      </w:pPr>
      <w:r>
        <w:t xml:space="preserve">Sacred Books of the East, originally published by the Clarendon Press (Oxford), as reprinted by Motilal Banarsidass; publisher catalogue information, not an independently audited bibliography.</w:t>
      </w:r>
    </w:p>
    <w:p>
      <w:pPr>
        <w:pBdr>
          <w:bottom w:val="single" w:color="1B365D" w:sz="8" w:space="4"/>
        </w:pBdr>
        <w:spacing w:after="200" w:before="200"/>
      </w:pPr>
      <w:r>
        <w:t xml:space="preserve"/>
      </w:r>
    </w:p>
    <w:p>
      <w:pPr>
        <w:pStyle w:val="Heading2"/>
        <w:spacing w:after="150" w:before="300"/>
      </w:pPr>
      <w:r>
        <w:t xml:space="preserve">Source and AI disclosure</w:t>
      </w:r>
    </w:p>
    <w:p>
      <w:pPr>
        <w:spacing w:after="160"/>
      </w:pPr>
      <w:r>
        <w:t xml:space="preserve">Generative AI tools assisted with brainstorming, restructuring, language refinement, and drafting or rewriting selected passages. The author reviewed and revised the resulting text and remains solely responsible for the arguments, factual claims, citations, originality, and final form. AI tools are not authors, legal advisers, institutional sponsors, or sources of law.</w:t>
      </w:r>
    </w:p>
    <w:p>
      <w:pPr>
        <w:spacing w:after="160"/>
      </w:pPr>
      <w:r>
        <w:t xml:space="preserve">The cited institutional, legal, and economic sources were checked against underlying publications or official records to the extent stated in section 2.3 and in the Sources list above. The Carnegie Mellon/Covey study, Reimers (2019), and the historical British Library estimate are reported with their relevant dates, jurisdictions, and limitations. The Asian Educational Services title-count claim is supported by a secondary citable source and is not presented as an independently audited catalogue count. The previously attributed interview quotation could not be independently verified and has been removed. No AI-generated suggestion is treated as evidence.</w:t>
      </w:r>
    </w:p>
    <w:p>
      <w:pPr>
        <w:pBdr>
          <w:bottom w:val="single" w:color="1B365D" w:sz="8" w:space="4"/>
        </w:pBdr>
        <w:spacing w:after="200" w:before="200"/>
      </w:pPr>
      <w:r>
        <w:t xml:space="preserve"/>
      </w:r>
    </w:p>
    <w:p>
      <w:pPr>
        <w:spacing w:before="200"/>
      </w:pPr>
      <w:r>
        <w:rPr>
          <w:i/>
          <w:iCs/>
          <w:color w:val="555555"/>
          <w:sz w:val="20"/>
          <w:szCs w:val="20"/>
        </w:rPr>
        <w:t xml:space="preserve">Single-author draft. Not externally peer-reviewed. Offered for comment.</w:t>
      </w:r>
    </w:p>
    <w:p>
      <w:pPr>
        <w:spacing w:after="0"/>
      </w:pPr>
      <w:r>
        <w:rPr>
          <w:color w:val="555555"/>
          <w:sz w:val="20"/>
          <w:szCs w:val="20"/>
        </w:rPr>
        <w:t xml:space="preserve">Jayathilaka, W. A. H. S. (2026). Lost provenance and two proposed status marks (PD-V, COMP-X): addendum to the PRA framework. 25 September 2026.</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pPr>
      <w:spacing w:after="180" w:before="360"/>
    </w:pPr>
    <w:rPr>
      <w:rFonts w:ascii="Georgia" w:cs="Georgia" w:eastAsia="Georgia" w:hAnsi="Georgia"/>
      <w:b/>
      <w:bCs/>
      <w:color w:val="1B365D"/>
      <w:sz w:val="30"/>
      <w:szCs w:val="30"/>
    </w:rPr>
  </w:style>
  <w:style w:type="paragraph" w:styleId="Heading2">
    <w:name w:val="Heading 2"/>
    <w:basedOn w:val="Normal"/>
    <w:next w:val="Normal"/>
    <w:pPr>
      <w:spacing w:after="140" w:before="280"/>
    </w:pPr>
    <w:rPr>
      <w:rFonts w:ascii="Georgia" w:cs="Georgia" w:eastAsia="Georgia" w:hAnsi="Georgia"/>
      <w:b/>
      <w:bCs/>
      <w:color w:val="1F6B5A"/>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wknnvyb1fmrtanbllspw" Type="http://schemas.openxmlformats.org/officeDocument/2006/relationships/hyperlink" Target="https://creativecommons.org/publicdomain/mark/1.0/" TargetMode="External"/><Relationship Id="rIdrgvmndbv3werl2wpwlmkx" Type="http://schemas.openxmlformats.org/officeDocument/2006/relationships/hyperlink" Target="https://rightsstatements.org/"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2026-09-26T09:35:44.355Z</dcterms:created>
  <dcterms:modified xsi:type="dcterms:W3CDTF">2026-09-26T09:35:44.355Z</dcterms:modified>
</cp:coreProperties>
</file>

<file path=docProps/custom.xml><?xml version="1.0" encoding="utf-8"?>
<Properties xmlns="http://schemas.openxmlformats.org/officeDocument/2006/custom-properties" xmlns:vt="http://schemas.openxmlformats.org/officeDocument/2006/docPropsVTypes"/>
</file>